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007A4B"/>
          <w:sz w:val="28"/>
          <w:szCs w:val="28"/>
        </w:rPr>
        <w:id w:val="-1548224597"/>
        <w:docPartObj>
          <w:docPartGallery w:val="Cover Pages"/>
          <w:docPartUnique/>
        </w:docPartObj>
      </w:sdtPr>
      <w:sdtContent>
        <w:p w14:paraId="6FD588FB" w14:textId="08F31830" w:rsidR="000E7FCA" w:rsidRDefault="000E7FCA">
          <w:pPr>
            <w:spacing w:after="0"/>
            <w:rPr>
              <w:rFonts w:ascii="Arial Black" w:hAnsi="Arial Black"/>
              <w:b/>
              <w:bCs/>
              <w:color w:val="007A4B"/>
              <w:sz w:val="28"/>
              <w:szCs w:val="28"/>
            </w:rPr>
          </w:pPr>
          <w:r w:rsidRPr="000E7FCA">
            <w:rPr>
              <w:rFonts w:ascii="Arial Black" w:hAnsi="Arial Black"/>
              <w:b/>
              <w:bCs/>
              <w:noProof/>
              <w:color w:val="FFFFFF" w:themeColor="background1"/>
              <w:sz w:val="28"/>
              <w:szCs w:val="28"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FD60883" wp14:editId="72E0ECE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2540" b="635"/>
                    <wp:wrapNone/>
                    <wp:docPr id="11" name="Group 2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144000"/>
                              <a:chOff x="0" y="0"/>
                              <a:chExt cx="6858000" cy="9144000"/>
                            </a:xfrm>
                          </wpg:grpSpPr>
                          <wps:wsp>
                            <wps:cNvPr id="33" name="Rectangle 33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84"/>
                                      <w:szCs w:val="84"/>
                                    </w:rPr>
                                    <w:alias w:val="Title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6DF4FD4B" w14:textId="3A53E3C4" w:rsidR="000E7FCA" w:rsidRDefault="000E7FCA">
                                      <w:pPr>
                                        <w:pStyle w:val="NoSpacing"/>
                                        <w:spacing w:after="120"/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  <w:t>Boards Are IN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3EAF49" w:themeColor="accent3"/>
                                      <w:sz w:val="40"/>
                                      <w:szCs w:val="40"/>
                                    </w:rPr>
                                    <w:alias w:val="Subtitle"/>
                                    <w:tag w:val=""/>
                                    <w:id w:val="1611937615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6AA606AD" w14:textId="4D328B5C" w:rsidR="000E7FCA" w:rsidRDefault="00DE0090">
                                      <w:pPr>
                                        <w:pStyle w:val="NoSpacing"/>
                                        <w:rPr>
                                          <w:color w:val="3EAF49" w:themeColor="accent3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3EAF49" w:themeColor="accent3"/>
                                          <w:sz w:val="40"/>
                                          <w:szCs w:val="40"/>
                                        </w:rPr>
                                        <w:t>Modernizing the Corporate Board to Include People with Disabilities</w:t>
                                      </w:r>
                                    </w:p>
                                  </w:sdtContent>
                                </w:sdt>
                                <w:p w14:paraId="4910E52F" w14:textId="1D59CA75" w:rsidR="009C2C16" w:rsidRPr="009C2C16" w:rsidRDefault="009C2C16">
                                  <w:pPr>
                                    <w:pStyle w:val="NoSpacing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9C2C16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An Initiative of Disability:IN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" name="Rectangle 34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0FD60883" id="Group 24" o:spid="_x0000_s1026" alt="&quot;&quot;" style="position:absolute;margin-left:0;margin-top:0;width:540pt;height:10in;z-index:251662336;mso-width-percent:882;mso-height-percent:909;mso-position-horizontal:center;mso-position-horizontal-relative:page;mso-position-vertical:center;mso-position-vertical-relative:page;mso-width-percent:882;mso-height-percent:909" coordsize="68580,9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">
                    <v:rect id="Rectangle 33" o:spid="_x0000_s1027" style="position:absolute;left:2286;width:66294;height:91440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" fillcolor="#242c65 [3213]" stroked="f" strokeweight="1pt">
                      <v:textbox inset="36pt,1in,1in,208.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84"/>
                                <w:szCs w:val="84"/>
                              </w:rPr>
                              <w:alias w:val="Title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6DF4FD4B" w14:textId="3A53E3C4" w:rsidR="000E7FCA" w:rsidRDefault="000E7FCA">
                                <w:pPr>
                                  <w:pStyle w:val="NoSpacing"/>
                                  <w:spacing w:after="120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t>Boards Are IN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3EAF49" w:themeColor="accent3"/>
                                <w:sz w:val="40"/>
                                <w:szCs w:val="40"/>
                              </w:rPr>
                              <w:alias w:val="Subtitle"/>
                              <w:tag w:val=""/>
                              <w:id w:val="1611937615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6AA606AD" w14:textId="4D328B5C" w:rsidR="000E7FCA" w:rsidRDefault="00DE0090">
                                <w:pPr>
                                  <w:pStyle w:val="NoSpacing"/>
                                  <w:rPr>
                                    <w:color w:val="3EAF49" w:themeColor="accent3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3EAF49" w:themeColor="accent3"/>
                                    <w:sz w:val="40"/>
                                    <w:szCs w:val="40"/>
                                  </w:rPr>
                                  <w:t>Modernizing the Corporate Board to Include People with Disabilities</w:t>
                                </w:r>
                              </w:p>
                            </w:sdtContent>
                          </w:sdt>
                          <w:p w14:paraId="4910E52F" w14:textId="1D59CA75" w:rsidR="009C2C16" w:rsidRPr="009C2C16" w:rsidRDefault="009C2C16">
                            <w:pPr>
                              <w:pStyle w:val="NoSpacing"/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C2C16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An Initiative of Disability:IN</w:t>
                            </w:r>
                          </w:p>
                        </w:txbxContent>
                      </v:textbox>
                    </v:rect>
                    <v:rect id="Rectangle 34" o:spid="_x0000_s1028" style="position:absolute;width:2286;height:914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" fillcolor="#3eaf49 [3206]" stroked="f" strokeweight="1pt"/>
                    <w10:wrap anchorx="page" anchory="page"/>
                  </v:group>
                </w:pict>
              </mc:Fallback>
            </mc:AlternateContent>
          </w:r>
          <w:r>
            <w:rPr>
              <w:color w:val="007A4B"/>
              <w:sz w:val="28"/>
              <w:szCs w:val="28"/>
            </w:rPr>
            <w:br w:type="page"/>
          </w:r>
        </w:p>
      </w:sdtContent>
    </w:sdt>
    <w:p w14:paraId="5FEABEED" w14:textId="1C6E46C6" w:rsidR="00206A40" w:rsidRPr="00491301" w:rsidRDefault="00DE024C" w:rsidP="00097ACF">
      <w:pPr>
        <w:pStyle w:val="Title"/>
        <w:outlineLvl w:val="0"/>
        <w:rPr>
          <w:color w:val="007A4B"/>
          <w:sz w:val="28"/>
          <w:szCs w:val="28"/>
        </w:rPr>
      </w:pPr>
      <w:r>
        <w:rPr>
          <w:color w:val="007A4B"/>
          <w:sz w:val="28"/>
          <w:szCs w:val="28"/>
        </w:rPr>
        <w:lastRenderedPageBreak/>
        <w:t>Boards Are IN</w:t>
      </w:r>
      <w:r w:rsidR="00F55364" w:rsidRPr="00491301">
        <w:rPr>
          <w:color w:val="007A4B"/>
          <w:sz w:val="28"/>
          <w:szCs w:val="28"/>
        </w:rPr>
        <w:t xml:space="preserve">: </w:t>
      </w:r>
      <w:r w:rsidR="006148AF" w:rsidRPr="00491301">
        <w:rPr>
          <w:color w:val="007A4B"/>
          <w:sz w:val="28"/>
          <w:szCs w:val="28"/>
        </w:rPr>
        <w:t>Integrating</w:t>
      </w:r>
      <w:r w:rsidR="00F55364" w:rsidRPr="00491301">
        <w:rPr>
          <w:color w:val="007A4B"/>
          <w:sz w:val="28"/>
          <w:szCs w:val="28"/>
        </w:rPr>
        <w:t xml:space="preserve"> Disability into </w:t>
      </w:r>
      <w:r w:rsidR="001504B1">
        <w:rPr>
          <w:color w:val="007A4B"/>
          <w:sz w:val="28"/>
          <w:szCs w:val="28"/>
        </w:rPr>
        <w:t xml:space="preserve">Board Disclosure Matrices in Proxy Statements </w:t>
      </w:r>
      <w:r w:rsidR="002F62DA">
        <w:rPr>
          <w:color w:val="007A4B"/>
          <w:sz w:val="28"/>
          <w:szCs w:val="28"/>
        </w:rPr>
        <w:t xml:space="preserve">&amp; Proxy Voting Guidelines </w:t>
      </w:r>
    </w:p>
    <w:p w14:paraId="47FBC04F" w14:textId="14582596" w:rsidR="00A50819" w:rsidRPr="00D2704D" w:rsidRDefault="007D5493" w:rsidP="00A50819">
      <w:pPr>
        <w:pStyle w:val="Heading2"/>
        <w:rPr>
          <w:sz w:val="24"/>
          <w:szCs w:val="24"/>
        </w:rPr>
      </w:pPr>
      <w:r w:rsidRPr="00D2704D">
        <w:rPr>
          <w:sz w:val="24"/>
          <w:szCs w:val="24"/>
        </w:rPr>
        <w:t xml:space="preserve">Background </w:t>
      </w:r>
      <w:r w:rsidR="00296D4D" w:rsidRPr="00D2704D">
        <w:rPr>
          <w:sz w:val="24"/>
          <w:szCs w:val="24"/>
        </w:rPr>
        <w:t xml:space="preserve">on Board </w:t>
      </w:r>
      <w:r w:rsidR="000B2C55" w:rsidRPr="00D2704D">
        <w:rPr>
          <w:sz w:val="24"/>
          <w:szCs w:val="24"/>
        </w:rPr>
        <w:t xml:space="preserve">Diversity </w:t>
      </w:r>
      <w:r w:rsidR="00296D4D" w:rsidRPr="00D2704D">
        <w:rPr>
          <w:sz w:val="24"/>
          <w:szCs w:val="24"/>
        </w:rPr>
        <w:t xml:space="preserve"> </w:t>
      </w:r>
    </w:p>
    <w:p w14:paraId="7D7A4C6F" w14:textId="737C50FF" w:rsidR="00147B87" w:rsidRPr="00D2704D" w:rsidRDefault="0088241B" w:rsidP="006148AF">
      <w:r w:rsidRPr="00D2704D">
        <w:t xml:space="preserve">Despite </w:t>
      </w:r>
      <w:r w:rsidR="00166123" w:rsidRPr="00D2704D">
        <w:t>international</w:t>
      </w:r>
      <w:r w:rsidR="004E167C" w:rsidRPr="00D2704D">
        <w:t xml:space="preserve"> efforts to diversify corporate </w:t>
      </w:r>
      <w:r w:rsidR="00166123" w:rsidRPr="00D2704D">
        <w:t>governance</w:t>
      </w:r>
      <w:r w:rsidR="004E167C" w:rsidRPr="00D2704D">
        <w:t xml:space="preserve"> in recent years, </w:t>
      </w:r>
      <w:r w:rsidR="00166123" w:rsidRPr="00D2704D">
        <w:t xml:space="preserve">corporate boards </w:t>
      </w:r>
      <w:r w:rsidR="001F72B3" w:rsidRPr="00D2704D">
        <w:t xml:space="preserve">often </w:t>
      </w:r>
      <w:r w:rsidR="00166123" w:rsidRPr="00D2704D">
        <w:t>overlook disability</w:t>
      </w:r>
      <w:r w:rsidR="001504B1">
        <w:t>. This is evident in the dearth of</w:t>
      </w:r>
      <w:r w:rsidR="007A47A1" w:rsidRPr="00D2704D">
        <w:t xml:space="preserve"> </w:t>
      </w:r>
      <w:r w:rsidR="001504B1">
        <w:t>governance frameworks that</w:t>
      </w:r>
      <w:r w:rsidR="00E61533" w:rsidRPr="00D2704D">
        <w:t xml:space="preserve"> </w:t>
      </w:r>
      <w:r w:rsidR="001504B1">
        <w:t xml:space="preserve">include disability in the </w:t>
      </w:r>
      <w:r w:rsidRPr="00D2704D">
        <w:t xml:space="preserve">nomination of </w:t>
      </w:r>
      <w:r w:rsidR="001504B1">
        <w:t xml:space="preserve">new </w:t>
      </w:r>
      <w:r w:rsidRPr="00D2704D">
        <w:t>directors</w:t>
      </w:r>
      <w:r w:rsidR="001504B1">
        <w:t xml:space="preserve"> and in proxy statements that include disability disclosures for current directors. </w:t>
      </w:r>
    </w:p>
    <w:p w14:paraId="01CE9EF6" w14:textId="033C4592" w:rsidR="00147B87" w:rsidRPr="00D2704D" w:rsidRDefault="00020A0C" w:rsidP="006148AF">
      <w:r w:rsidRPr="00D2704D">
        <w:t xml:space="preserve">In </w:t>
      </w:r>
      <w:r w:rsidR="00166123" w:rsidRPr="00D2704D">
        <w:t xml:space="preserve">a report entitled </w:t>
      </w:r>
      <w:r w:rsidRPr="00D2704D">
        <w:rPr>
          <w:i/>
          <w:iCs/>
        </w:rPr>
        <w:t>Global Boardroom Diversity: Legal Findings on Disability &amp; Diversity</w:t>
      </w:r>
      <w:r w:rsidRPr="00D2704D">
        <w:t xml:space="preserve">, </w:t>
      </w:r>
      <w:hyperlink r:id="rId11" w:history="1">
        <w:r w:rsidRPr="00D2704D">
          <w:rPr>
            <w:rStyle w:val="Hyperlink"/>
          </w:rPr>
          <w:t xml:space="preserve">Disability:IN </w:t>
        </w:r>
        <w:r w:rsidR="00166123" w:rsidRPr="00D2704D">
          <w:rPr>
            <w:rStyle w:val="Hyperlink"/>
          </w:rPr>
          <w:t xml:space="preserve">and </w:t>
        </w:r>
        <w:proofErr w:type="spellStart"/>
        <w:r w:rsidR="00166123" w:rsidRPr="00D2704D">
          <w:rPr>
            <w:rStyle w:val="Hyperlink"/>
          </w:rPr>
          <w:t>TrustLaw</w:t>
        </w:r>
        <w:proofErr w:type="spellEnd"/>
      </w:hyperlink>
      <w:r w:rsidR="00166123" w:rsidRPr="00D2704D">
        <w:t xml:space="preserve"> </w:t>
      </w:r>
      <w:r w:rsidR="00AA497D" w:rsidRPr="00D2704D">
        <w:t xml:space="preserve">(2023) </w:t>
      </w:r>
      <w:r w:rsidR="00193CC5" w:rsidRPr="00D2704D">
        <w:t xml:space="preserve">found that </w:t>
      </w:r>
      <w:r w:rsidR="00F720BB" w:rsidRPr="00D2704D">
        <w:t xml:space="preserve">few </w:t>
      </w:r>
      <w:r w:rsidR="00AA497D" w:rsidRPr="00D2704D">
        <w:t>jurisdictions around the world mandate companies to reveal whether their boards include individuals with disabilities</w:t>
      </w:r>
      <w:r w:rsidR="00F73B04" w:rsidRPr="00D2704D">
        <w:t>. Even where companies are required to disclose the overall diversity of their boards,</w:t>
      </w:r>
      <w:r w:rsidR="00213ACA" w:rsidRPr="00D2704D">
        <w:t xml:space="preserve"> they are seldom obligated make disclosures specific to disability. </w:t>
      </w:r>
    </w:p>
    <w:p w14:paraId="305ACFC1" w14:textId="66729235" w:rsidR="003D51D0" w:rsidRPr="00D2704D" w:rsidRDefault="002D08D8" w:rsidP="003D51D0">
      <w:r w:rsidRPr="00D2704D">
        <w:t>A close</w:t>
      </w:r>
      <w:r w:rsidR="00C0743B" w:rsidRPr="00D2704D">
        <w:t>r</w:t>
      </w:r>
      <w:r w:rsidRPr="00D2704D">
        <w:t xml:space="preserve"> look at disability inclusive companies in the U.S.</w:t>
      </w:r>
      <w:r w:rsidR="00166123" w:rsidRPr="00D2704D">
        <w:t xml:space="preserve"> </w:t>
      </w:r>
      <w:r w:rsidRPr="00D2704D">
        <w:t xml:space="preserve">reveals that </w:t>
      </w:r>
      <w:r w:rsidR="00BC42C1" w:rsidRPr="00D2704D">
        <w:t xml:space="preserve">only </w:t>
      </w:r>
      <w:r w:rsidR="00166123" w:rsidRPr="00A23FAE">
        <w:rPr>
          <w:b/>
          <w:bCs/>
          <w:color w:val="00794B" w:themeColor="accent4"/>
        </w:rPr>
        <w:t>2.5</w:t>
      </w:r>
      <w:r w:rsidR="00BC42C1" w:rsidRPr="00A23FAE">
        <w:rPr>
          <w:b/>
          <w:bCs/>
          <w:color w:val="00794B" w:themeColor="accent4"/>
        </w:rPr>
        <w:t xml:space="preserve">% of companies mention </w:t>
      </w:r>
      <w:r w:rsidR="00C41408" w:rsidRPr="00A23FAE">
        <w:rPr>
          <w:b/>
          <w:bCs/>
          <w:color w:val="00794B" w:themeColor="accent4"/>
        </w:rPr>
        <w:t>people with disabilities in documents that govern the nomination of directors</w:t>
      </w:r>
      <w:r w:rsidR="001504B1">
        <w:rPr>
          <w:b/>
          <w:bCs/>
          <w:color w:val="00794B" w:themeColor="accent4"/>
        </w:rPr>
        <w:t xml:space="preserve"> and 2.4% of companies disclose disability status in their proxy statements</w:t>
      </w:r>
      <w:r w:rsidR="00C41408" w:rsidRPr="00D2704D">
        <w:t xml:space="preserve">. </w:t>
      </w:r>
      <w:r w:rsidR="00BD61D9" w:rsidRPr="00D2704D">
        <w:t>In these cases</w:t>
      </w:r>
      <w:r w:rsidR="00C41408" w:rsidRPr="00D2704D">
        <w:t xml:space="preserve">, disability is mentioned alongside </w:t>
      </w:r>
      <w:r w:rsidR="00166123" w:rsidRPr="00D2704D">
        <w:t xml:space="preserve">the </w:t>
      </w:r>
      <w:r w:rsidR="001504B1">
        <w:t>other</w:t>
      </w:r>
      <w:r w:rsidR="00810E1F" w:rsidRPr="00D2704D">
        <w:t xml:space="preserve"> </w:t>
      </w:r>
      <w:r w:rsidR="00166123" w:rsidRPr="00D2704D">
        <w:t>facets</w:t>
      </w:r>
      <w:r w:rsidR="00B5532D" w:rsidRPr="00D2704D">
        <w:t xml:space="preserve"> of diversity </w:t>
      </w:r>
      <w:r w:rsidR="00CB5ADA" w:rsidRPr="00D2704D">
        <w:t xml:space="preserve">(gender, race, ethnicity, sexual orientation, nationality, and/or age) </w:t>
      </w:r>
      <w:r w:rsidR="00B5532D" w:rsidRPr="00D2704D">
        <w:t>as a</w:t>
      </w:r>
      <w:r w:rsidR="007A351F" w:rsidRPr="00D2704D">
        <w:t xml:space="preserve">n additive </w:t>
      </w:r>
      <w:r w:rsidR="00B5532D" w:rsidRPr="00D2704D">
        <w:t>differentiator</w:t>
      </w:r>
      <w:r w:rsidR="00BD61D9" w:rsidRPr="00D2704D">
        <w:t xml:space="preserve"> </w:t>
      </w:r>
      <w:r w:rsidR="00DE0343" w:rsidRPr="00D2704D">
        <w:t>for</w:t>
      </w:r>
      <w:r w:rsidR="00BD61D9" w:rsidRPr="00D2704D">
        <w:t xml:space="preserve"> </w:t>
      </w:r>
      <w:r w:rsidR="00DE0343" w:rsidRPr="00D2704D">
        <w:t xml:space="preserve">strong </w:t>
      </w:r>
      <w:r w:rsidR="00BD61D9" w:rsidRPr="00D2704D">
        <w:t xml:space="preserve">corporate governance. </w:t>
      </w:r>
      <w:r w:rsidR="004F398C">
        <w:t xml:space="preserve">This document contains model proxy statements for including disability in board diversity disclosure matrices. </w:t>
      </w:r>
    </w:p>
    <w:p w14:paraId="5D69C3B0" w14:textId="565010E9" w:rsidR="000B2C55" w:rsidRPr="00D2704D" w:rsidRDefault="000B2C55" w:rsidP="000B2C55">
      <w:pPr>
        <w:pStyle w:val="Heading2"/>
        <w:rPr>
          <w:sz w:val="24"/>
          <w:szCs w:val="24"/>
        </w:rPr>
      </w:pPr>
      <w:r w:rsidRPr="00D2704D">
        <w:rPr>
          <w:sz w:val="24"/>
          <w:szCs w:val="24"/>
        </w:rPr>
        <w:t xml:space="preserve">Why Disability is Additive to </w:t>
      </w:r>
      <w:r w:rsidR="003D6F74">
        <w:rPr>
          <w:sz w:val="24"/>
          <w:szCs w:val="24"/>
        </w:rPr>
        <w:t xml:space="preserve">Corporate </w:t>
      </w:r>
      <w:r w:rsidRPr="00D2704D">
        <w:rPr>
          <w:sz w:val="24"/>
          <w:szCs w:val="24"/>
        </w:rPr>
        <w:t xml:space="preserve">Governance </w:t>
      </w:r>
    </w:p>
    <w:p w14:paraId="798416C5" w14:textId="433207BA" w:rsidR="005552A2" w:rsidRPr="00D2704D" w:rsidRDefault="00CD4591" w:rsidP="003D51D0">
      <w:pPr>
        <w:rPr>
          <w:rFonts w:eastAsia="Times New Roman"/>
        </w:rPr>
      </w:pPr>
      <w:r w:rsidRPr="00D2704D">
        <w:rPr>
          <w:rFonts w:eastAsia="Times New Roman"/>
        </w:rPr>
        <w:t xml:space="preserve">There is a well-documented business case for disability inclusion, first articulated by </w:t>
      </w:r>
      <w:hyperlink r:id="rId12" w:history="1">
        <w:r w:rsidRPr="00D2704D">
          <w:rPr>
            <w:rStyle w:val="Hyperlink"/>
            <w:rFonts w:eastAsia="Times New Roman"/>
          </w:rPr>
          <w:t>Accenture</w:t>
        </w:r>
      </w:hyperlink>
      <w:r w:rsidRPr="00D2704D">
        <w:rPr>
          <w:rFonts w:eastAsia="Times New Roman"/>
        </w:rPr>
        <w:t xml:space="preserve"> (2018</w:t>
      </w:r>
      <w:r w:rsidR="001504B1">
        <w:rPr>
          <w:rFonts w:eastAsia="Times New Roman"/>
        </w:rPr>
        <w:t>, 2023</w:t>
      </w:r>
      <w:r w:rsidRPr="00D2704D">
        <w:rPr>
          <w:rFonts w:eastAsia="Times New Roman"/>
        </w:rPr>
        <w:t>)</w:t>
      </w:r>
      <w:r w:rsidR="00AB3D35" w:rsidRPr="00D2704D">
        <w:rPr>
          <w:rFonts w:eastAsia="Times New Roman"/>
        </w:rPr>
        <w:t xml:space="preserve"> in </w:t>
      </w:r>
      <w:r w:rsidR="00AB3D35" w:rsidRPr="00D2704D">
        <w:rPr>
          <w:rFonts w:eastAsia="Times New Roman"/>
          <w:i/>
          <w:iCs/>
        </w:rPr>
        <w:t>Getting to Equal: The Disability Inclusion Advantage</w:t>
      </w:r>
      <w:r w:rsidR="00AB3D35" w:rsidRPr="00D2704D">
        <w:rPr>
          <w:rFonts w:eastAsia="Times New Roman"/>
        </w:rPr>
        <w:t xml:space="preserve">. </w:t>
      </w:r>
      <w:hyperlink r:id="rId13" w:history="1">
        <w:r w:rsidR="00AB3D35" w:rsidRPr="00D2704D">
          <w:rPr>
            <w:rStyle w:val="Hyperlink"/>
            <w:rFonts w:eastAsia="Times New Roman"/>
          </w:rPr>
          <w:t>Harvard Business Review</w:t>
        </w:r>
      </w:hyperlink>
      <w:r w:rsidR="00AB3D35" w:rsidRPr="00D2704D">
        <w:rPr>
          <w:rFonts w:eastAsia="Times New Roman"/>
        </w:rPr>
        <w:t xml:space="preserve"> (2023) </w:t>
      </w:r>
      <w:r w:rsidR="00DF2BD3" w:rsidRPr="00D2704D">
        <w:rPr>
          <w:rFonts w:eastAsia="Times New Roman"/>
        </w:rPr>
        <w:t xml:space="preserve">recently </w:t>
      </w:r>
      <w:r w:rsidR="00AB3D35" w:rsidRPr="00D2704D">
        <w:rPr>
          <w:rFonts w:eastAsia="Times New Roman"/>
        </w:rPr>
        <w:t xml:space="preserve">explored </w:t>
      </w:r>
      <w:r w:rsidR="001504B1">
        <w:rPr>
          <w:rFonts w:eastAsia="Times New Roman"/>
        </w:rPr>
        <w:t>the reasons why</w:t>
      </w:r>
      <w:r w:rsidR="00AB3D35" w:rsidRPr="00D2704D">
        <w:rPr>
          <w:rFonts w:eastAsia="Times New Roman"/>
        </w:rPr>
        <w:t xml:space="preserve"> disability is a source of competitive advantage that humanizes company culture</w:t>
      </w:r>
      <w:r w:rsidR="00DF2BD3" w:rsidRPr="00D2704D">
        <w:rPr>
          <w:rFonts w:eastAsia="Times New Roman"/>
        </w:rPr>
        <w:t>.</w:t>
      </w:r>
      <w:r w:rsidR="005552A2" w:rsidRPr="00D2704D">
        <w:rPr>
          <w:rFonts w:eastAsia="Times New Roman"/>
        </w:rPr>
        <w:t xml:space="preserve"> </w:t>
      </w:r>
      <w:r w:rsidR="00DF2BD3" w:rsidRPr="00D2704D">
        <w:rPr>
          <w:rFonts w:eastAsia="Times New Roman"/>
        </w:rPr>
        <w:t>These advantages translate to corporate governance</w:t>
      </w:r>
      <w:r w:rsidR="005552A2" w:rsidRPr="00D2704D">
        <w:rPr>
          <w:rFonts w:eastAsia="Times New Roman"/>
        </w:rPr>
        <w:t xml:space="preserve"> where</w:t>
      </w:r>
      <w:r w:rsidR="00DF2BD3" w:rsidRPr="00D2704D">
        <w:rPr>
          <w:rFonts w:eastAsia="Times New Roman"/>
        </w:rPr>
        <w:t xml:space="preserve"> </w:t>
      </w:r>
      <w:r w:rsidR="000B2C55" w:rsidRPr="00D2704D">
        <w:rPr>
          <w:rFonts w:eastAsia="Times New Roman"/>
        </w:rPr>
        <w:t>disability status</w:t>
      </w:r>
      <w:r w:rsidR="005552A2" w:rsidRPr="00D2704D">
        <w:rPr>
          <w:rFonts w:eastAsia="Times New Roman"/>
        </w:rPr>
        <w:t xml:space="preserve"> </w:t>
      </w:r>
      <w:r w:rsidR="005552A2" w:rsidRPr="006726B4">
        <w:rPr>
          <w:rFonts w:eastAsia="Times New Roman"/>
          <w:b/>
          <w:bCs/>
          <w:color w:val="00794B" w:themeColor="accent4"/>
        </w:rPr>
        <w:t>enhances business acuity</w:t>
      </w:r>
      <w:r w:rsidR="000B2C55" w:rsidRPr="006726B4">
        <w:rPr>
          <w:rFonts w:eastAsia="Times New Roman"/>
          <w:color w:val="00794B" w:themeColor="accent4"/>
        </w:rPr>
        <w:t xml:space="preserve"> </w:t>
      </w:r>
      <w:r w:rsidR="000B2C55" w:rsidRPr="00D2704D">
        <w:rPr>
          <w:rFonts w:eastAsia="Times New Roman"/>
        </w:rPr>
        <w:t>because disabled people experience society’s core institutions differently</w:t>
      </w:r>
      <w:r w:rsidR="005552A2" w:rsidRPr="00D2704D">
        <w:rPr>
          <w:rFonts w:eastAsia="Times New Roman"/>
        </w:rPr>
        <w:t xml:space="preserve"> and have the</w:t>
      </w:r>
      <w:r w:rsidR="000B2C55" w:rsidRPr="00D2704D">
        <w:rPr>
          <w:rFonts w:eastAsia="Times New Roman"/>
        </w:rPr>
        <w:t xml:space="preserve"> ability to contribute </w:t>
      </w:r>
      <w:r w:rsidR="000B2C55" w:rsidRPr="006726B4">
        <w:rPr>
          <w:rFonts w:eastAsia="Times New Roman"/>
          <w:b/>
          <w:bCs/>
          <w:color w:val="00794B" w:themeColor="accent4"/>
        </w:rPr>
        <w:t>additive and alternative logic</w:t>
      </w:r>
      <w:r w:rsidR="000B2C55" w:rsidRPr="00D2704D">
        <w:rPr>
          <w:rFonts w:eastAsia="Times New Roman"/>
        </w:rPr>
        <w:t xml:space="preserve"> to business decisions.</w:t>
      </w:r>
      <w:r w:rsidR="005552A2" w:rsidRPr="00D2704D">
        <w:rPr>
          <w:rFonts w:eastAsia="Times New Roman"/>
        </w:rPr>
        <w:t xml:space="preserve"> </w:t>
      </w:r>
      <w:r w:rsidR="000B2C55" w:rsidRPr="00D2704D">
        <w:rPr>
          <w:rFonts w:eastAsia="Times New Roman"/>
        </w:rPr>
        <w:t>People with disabilities bring a unique set of life-learned skills and perspectives that help boards make better decisions</w:t>
      </w:r>
      <w:r w:rsidR="006726B4">
        <w:rPr>
          <w:rFonts w:eastAsia="Times New Roman"/>
        </w:rPr>
        <w:t xml:space="preserve">, which </w:t>
      </w:r>
      <w:r w:rsidR="005552A2" w:rsidRPr="00D2704D">
        <w:rPr>
          <w:rFonts w:eastAsia="Times New Roman"/>
        </w:rPr>
        <w:t xml:space="preserve">in turn </w:t>
      </w:r>
      <w:r w:rsidR="000B2C55" w:rsidRPr="00D2704D">
        <w:rPr>
          <w:rFonts w:eastAsia="Times New Roman"/>
        </w:rPr>
        <w:t>benefit</w:t>
      </w:r>
      <w:r w:rsidR="006726B4">
        <w:rPr>
          <w:rFonts w:eastAsia="Times New Roman"/>
        </w:rPr>
        <w:t xml:space="preserve">s </w:t>
      </w:r>
      <w:r w:rsidR="000B2C55" w:rsidRPr="00D2704D">
        <w:rPr>
          <w:rFonts w:eastAsia="Times New Roman"/>
        </w:rPr>
        <w:t>companies and their shareholders.</w:t>
      </w:r>
    </w:p>
    <w:p w14:paraId="7ABF9BBF" w14:textId="7EE38577" w:rsidR="002B483E" w:rsidRPr="005552A2" w:rsidRDefault="005552A2" w:rsidP="003D51D0">
      <w:pPr>
        <w:rPr>
          <w:rFonts w:eastAsia="Times New Roman"/>
          <w:sz w:val="22"/>
          <w:szCs w:val="22"/>
        </w:rPr>
        <w:sectPr w:rsidR="002B483E" w:rsidRPr="005552A2" w:rsidSect="003655E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110" w:right="1080" w:bottom="1440" w:left="990" w:header="0" w:footer="0" w:gutter="0"/>
          <w:pgNumType w:start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39499B" wp14:editId="6450F8D9">
            <wp:simplePos x="0" y="0"/>
            <wp:positionH relativeFrom="column">
              <wp:posOffset>-787054</wp:posOffset>
            </wp:positionH>
            <wp:positionV relativeFrom="paragraph">
              <wp:posOffset>400251</wp:posOffset>
            </wp:positionV>
            <wp:extent cx="8014781" cy="2586990"/>
            <wp:effectExtent l="0" t="0" r="0" b="3810"/>
            <wp:wrapNone/>
            <wp:docPr id="598687621" name="Picture 598687621">
              <a:hlinkClick xmlns:a="http://schemas.openxmlformats.org/drawingml/2006/main" r:id="rId20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87621" name="Picture 598687621">
                      <a:hlinkClick r:id="rId20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3" r="-16" b="16348"/>
                    <a:stretch/>
                  </pic:blipFill>
                  <pic:spPr bwMode="auto">
                    <a:xfrm>
                      <a:off x="0" y="0"/>
                      <a:ext cx="8014781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9588E" w14:textId="7CE4C280" w:rsidR="003F71EA" w:rsidRPr="003F71EA" w:rsidRDefault="00F826DE" w:rsidP="004F398C">
      <w:pPr>
        <w:pStyle w:val="Heading2"/>
        <w:tabs>
          <w:tab w:val="right" w:pos="10170"/>
        </w:tabs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Model </w:t>
      </w:r>
      <w:r w:rsidR="002F62DA">
        <w:rPr>
          <w:sz w:val="24"/>
          <w:szCs w:val="24"/>
        </w:rPr>
        <w:t xml:space="preserve">Disability </w:t>
      </w:r>
      <w:r w:rsidR="001504B1">
        <w:rPr>
          <w:sz w:val="24"/>
          <w:szCs w:val="24"/>
        </w:rPr>
        <w:t>Disclosures</w:t>
      </w:r>
      <w:r>
        <w:rPr>
          <w:sz w:val="24"/>
          <w:szCs w:val="24"/>
        </w:rPr>
        <w:t xml:space="preserve"> </w:t>
      </w:r>
      <w:r w:rsidR="002F62DA">
        <w:rPr>
          <w:sz w:val="24"/>
          <w:szCs w:val="24"/>
        </w:rPr>
        <w:t>in 2023</w:t>
      </w:r>
      <w:r w:rsidRPr="00491301">
        <w:rPr>
          <w:sz w:val="24"/>
          <w:szCs w:val="24"/>
        </w:rPr>
        <w:t xml:space="preserve"> </w:t>
      </w:r>
      <w:r w:rsidR="001504B1">
        <w:rPr>
          <w:sz w:val="24"/>
          <w:szCs w:val="24"/>
        </w:rPr>
        <w:t xml:space="preserve">Proxy Statements  </w:t>
      </w:r>
      <w:r w:rsidRPr="00491301">
        <w:rPr>
          <w:sz w:val="24"/>
          <w:szCs w:val="24"/>
        </w:rPr>
        <w:t xml:space="preserve"> </w:t>
      </w:r>
    </w:p>
    <w:tbl>
      <w:tblPr>
        <w:tblStyle w:val="PlainTable1"/>
        <w:tblW w:w="11110" w:type="dxa"/>
        <w:tblInd w:w="-365" w:type="dxa"/>
        <w:tblLook w:val="04A0" w:firstRow="1" w:lastRow="0" w:firstColumn="1" w:lastColumn="0" w:noHBand="0" w:noVBand="1"/>
      </w:tblPr>
      <w:tblGrid>
        <w:gridCol w:w="5690"/>
        <w:gridCol w:w="5420"/>
      </w:tblGrid>
      <w:tr w:rsidR="001D2F05" w:rsidRPr="001D0E5B" w14:paraId="45A491B4" w14:textId="53D866F5" w:rsidTr="003F7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63AB81EF" w14:textId="7E349AFB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22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American Water Works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vii) </w:t>
            </w:r>
          </w:p>
        </w:tc>
        <w:tc>
          <w:tcPr>
            <w:tcW w:w="5420" w:type="dxa"/>
          </w:tcPr>
          <w:p w14:paraId="2FF2B699" w14:textId="54D86DCC" w:rsidR="001D2F05" w:rsidRPr="003F71EA" w:rsidRDefault="00000000" w:rsidP="001D2F0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23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Karuna Therapeutics</w:t>
              </w:r>
            </w:hyperlink>
            <w:r w:rsidR="001D2F05" w:rsidRPr="003F71EA">
              <w:rPr>
                <w:sz w:val="28"/>
                <w:szCs w:val="28"/>
              </w:rPr>
              <w:t xml:space="preserve"> </w:t>
            </w:r>
            <w:r w:rsidR="001D2F05" w:rsidRPr="003F71EA">
              <w:rPr>
                <w:b w:val="0"/>
                <w:bCs w:val="0"/>
                <w:sz w:val="28"/>
                <w:szCs w:val="28"/>
              </w:rPr>
              <w:t>(2023, p. 20)</w:t>
            </w:r>
            <w:r w:rsidR="001D2F05" w:rsidRPr="003F71EA">
              <w:rPr>
                <w:sz w:val="28"/>
                <w:szCs w:val="28"/>
              </w:rPr>
              <w:t xml:space="preserve"> </w:t>
            </w:r>
          </w:p>
        </w:tc>
      </w:tr>
      <w:tr w:rsidR="001D2F05" w:rsidRPr="001D0E5B" w14:paraId="3EDD00B3" w14:textId="0D53CD26" w:rsidTr="003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55768519" w14:textId="6FEC8462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24" w:history="1">
              <w:proofErr w:type="spellStart"/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Avient</w:t>
              </w:r>
              <w:proofErr w:type="spellEnd"/>
            </w:hyperlink>
            <w:r w:rsidR="001D2F05" w:rsidRPr="003F71EA">
              <w:rPr>
                <w:sz w:val="28"/>
                <w:szCs w:val="28"/>
              </w:rPr>
              <w:t xml:space="preserve"> (2023, p. 13)  </w:t>
            </w:r>
          </w:p>
        </w:tc>
        <w:tc>
          <w:tcPr>
            <w:tcW w:w="5420" w:type="dxa"/>
          </w:tcPr>
          <w:p w14:paraId="62F1DBCE" w14:textId="0DF9162F" w:rsidR="001D2F05" w:rsidRPr="003F71EA" w:rsidRDefault="00000000" w:rsidP="001D2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25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Nordson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11)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D2F05" w:rsidRPr="001D0E5B" w14:paraId="60AD31EE" w14:textId="738A6618" w:rsidTr="003F71EA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3F70AD17" w14:textId="27181CB3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26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Baker Hughes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11) </w:t>
            </w:r>
          </w:p>
        </w:tc>
        <w:tc>
          <w:tcPr>
            <w:tcW w:w="5420" w:type="dxa"/>
          </w:tcPr>
          <w:p w14:paraId="1F7B9504" w14:textId="27D4D235" w:rsidR="001D2F05" w:rsidRPr="003F71EA" w:rsidRDefault="00000000" w:rsidP="001D2F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27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Premier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8)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D2F05" w:rsidRPr="001D0E5B" w14:paraId="35023497" w14:textId="63107C50" w:rsidTr="003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0122F449" w14:textId="368E85B7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28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Etsy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18) </w:t>
            </w:r>
          </w:p>
        </w:tc>
        <w:tc>
          <w:tcPr>
            <w:tcW w:w="5420" w:type="dxa"/>
          </w:tcPr>
          <w:p w14:paraId="0A7DFC4E" w14:textId="2A90F985" w:rsidR="001D2F05" w:rsidRPr="003F71EA" w:rsidRDefault="00000000" w:rsidP="001D2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29" w:history="1">
              <w:proofErr w:type="spellStart"/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Repligen</w:t>
              </w:r>
              <w:proofErr w:type="spellEnd"/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3)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D2F05" w:rsidRPr="001D0E5B" w14:paraId="44CA40E9" w14:textId="1E44FDC0" w:rsidTr="003F71EA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30A854CE" w14:textId="4B698C52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30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Exelon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20) </w:t>
            </w:r>
          </w:p>
        </w:tc>
        <w:tc>
          <w:tcPr>
            <w:tcW w:w="5420" w:type="dxa"/>
          </w:tcPr>
          <w:p w14:paraId="57C7782E" w14:textId="16C13AFC" w:rsidR="001D2F05" w:rsidRPr="003F71EA" w:rsidRDefault="00000000" w:rsidP="001D2F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31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SEI Investments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21)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D2F05" w:rsidRPr="001D0E5B" w14:paraId="799C303A" w14:textId="1A5A56DA" w:rsidTr="003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4677B65F" w14:textId="6EC8066A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32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GlobalFoundries</w:t>
              </w:r>
            </w:hyperlink>
            <w:r w:rsidR="001D2F05" w:rsidRPr="003F71EA">
              <w:rPr>
                <w:sz w:val="28"/>
                <w:szCs w:val="28"/>
              </w:rPr>
              <w:t xml:space="preserve"> (2023) </w:t>
            </w:r>
          </w:p>
        </w:tc>
        <w:tc>
          <w:tcPr>
            <w:tcW w:w="5420" w:type="dxa"/>
          </w:tcPr>
          <w:p w14:paraId="16C2B061" w14:textId="0E009CF5" w:rsidR="001D2F05" w:rsidRPr="003F71EA" w:rsidRDefault="00000000" w:rsidP="001D2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33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Silicon Laboratories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11)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D2F05" w:rsidRPr="001D0E5B" w14:paraId="442559A0" w14:textId="45F54225" w:rsidTr="003F71EA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77F3197A" w14:textId="594ABF37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34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IDEX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7) </w:t>
            </w:r>
          </w:p>
        </w:tc>
        <w:tc>
          <w:tcPr>
            <w:tcW w:w="5420" w:type="dxa"/>
          </w:tcPr>
          <w:p w14:paraId="6CF7552A" w14:textId="48921A73" w:rsidR="001D2F05" w:rsidRPr="003F71EA" w:rsidRDefault="00000000" w:rsidP="001D2F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35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Spire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15)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1D2F05" w:rsidRPr="001D0E5B" w14:paraId="79D7242F" w14:textId="678B1049" w:rsidTr="003F7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7C30DE90" w14:textId="12DACB4A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36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Inari Medical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14) </w:t>
            </w:r>
          </w:p>
        </w:tc>
        <w:tc>
          <w:tcPr>
            <w:tcW w:w="5420" w:type="dxa"/>
          </w:tcPr>
          <w:p w14:paraId="5CFCAD3D" w14:textId="280D9781" w:rsidR="001D2F05" w:rsidRPr="003F71EA" w:rsidRDefault="00000000" w:rsidP="001D2F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37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SSR Mining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21)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1D2F05" w:rsidRPr="001D0E5B" w14:paraId="448C8F0B" w14:textId="648EEC80" w:rsidTr="003F71EA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90" w:type="dxa"/>
            <w:noWrap/>
            <w:hideMark/>
          </w:tcPr>
          <w:p w14:paraId="4D94123D" w14:textId="489E2F3D" w:rsidR="001D2F05" w:rsidRPr="003F71EA" w:rsidRDefault="00000000" w:rsidP="001D2F05">
            <w:pPr>
              <w:rPr>
                <w:sz w:val="28"/>
                <w:szCs w:val="28"/>
              </w:rPr>
            </w:pPr>
            <w:hyperlink r:id="rId38" w:history="1">
              <w:r w:rsidR="001D2F05" w:rsidRPr="003F71EA">
                <w:rPr>
                  <w:rStyle w:val="Hyperlink"/>
                  <w:rFonts w:eastAsia="Times New Roman"/>
                  <w:sz w:val="28"/>
                  <w:szCs w:val="28"/>
                </w:rPr>
                <w:t>JetBlue</w:t>
              </w:r>
            </w:hyperlink>
            <w:r w:rsidR="001D2F05" w:rsidRPr="003F71EA">
              <w:rPr>
                <w:sz w:val="28"/>
                <w:szCs w:val="28"/>
              </w:rPr>
              <w:t xml:space="preserve"> (2023, p. 19) </w:t>
            </w:r>
          </w:p>
        </w:tc>
        <w:tc>
          <w:tcPr>
            <w:tcW w:w="5420" w:type="dxa"/>
          </w:tcPr>
          <w:p w14:paraId="5A13E78E" w14:textId="2C79EEA8" w:rsidR="001D2F05" w:rsidRPr="003F71EA" w:rsidRDefault="00000000" w:rsidP="001D2F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hyperlink r:id="rId39" w:history="1">
              <w:r w:rsidR="001D2F05" w:rsidRPr="003F71EA">
                <w:rPr>
                  <w:rStyle w:val="Hyperlink"/>
                  <w:rFonts w:eastAsia="Times New Roman"/>
                  <w:b/>
                  <w:bCs/>
                  <w:sz w:val="28"/>
                  <w:szCs w:val="28"/>
                </w:rPr>
                <w:t>WestRock</w:t>
              </w:r>
            </w:hyperlink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  <w:r w:rsidR="001D2F05" w:rsidRPr="003F71EA">
              <w:rPr>
                <w:sz w:val="28"/>
                <w:szCs w:val="28"/>
              </w:rPr>
              <w:t>(2023, p. 9)</w:t>
            </w:r>
            <w:r w:rsidR="001D2F05" w:rsidRPr="003F71EA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48DF60E4" w14:textId="77777777" w:rsidR="00F161B1" w:rsidRDefault="00F161B1" w:rsidP="000B2C55"/>
    <w:p w14:paraId="00F23111" w14:textId="200DB4D7" w:rsidR="000C03EC" w:rsidRDefault="00227A4A" w:rsidP="000B2C55">
      <w:r>
        <w:t xml:space="preserve">Sample Disclosure. </w:t>
      </w:r>
      <w:hyperlink r:id="rId40" w:history="1">
        <w:r w:rsidRPr="00227A4A">
          <w:rPr>
            <w:rStyle w:val="Hyperlink"/>
          </w:rPr>
          <w:t>Etsy Proxy Statement</w:t>
        </w:r>
      </w:hyperlink>
      <w:r>
        <w:t xml:space="preserve">, 2023. </w:t>
      </w:r>
    </w:p>
    <w:p w14:paraId="5EF23EC5" w14:textId="10E6262F" w:rsidR="00227A4A" w:rsidRDefault="00227A4A" w:rsidP="006D5004">
      <w:pPr>
        <w:ind w:left="-270"/>
      </w:pPr>
      <w:r>
        <w:rPr>
          <w:noProof/>
        </w:rPr>
        <w:drawing>
          <wp:inline distT="0" distB="0" distL="0" distR="0" wp14:anchorId="68539E4E" wp14:editId="4F0CFC99">
            <wp:extent cx="6901302" cy="1924493"/>
            <wp:effectExtent l="0" t="0" r="0" b="6350"/>
            <wp:docPr id="405627669" name="Picture 4" descr="Screenshot from Etsy's 2023 proxy statement with a table that includes disabled directors alongside demographic background and gender identity. Etsy discloses 1 disabled director in 20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27669" name="Picture 4" descr="Screenshot from Etsy's 2023 proxy statement with a table that includes disabled directors alongside demographic background and gender identity. Etsy discloses 1 disabled director in 2023. 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447" cy="19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4687" w14:textId="2A7CA930" w:rsidR="00F161B1" w:rsidRDefault="00F161B1" w:rsidP="000B2C55">
      <w:r>
        <w:t xml:space="preserve">Sample Disclosure. JetBlue Proxy Statement, 2023. </w:t>
      </w:r>
    </w:p>
    <w:p w14:paraId="656A4A1A" w14:textId="3D2DEEF2" w:rsidR="00F161B1" w:rsidRDefault="00F161B1" w:rsidP="00F161B1">
      <w:pPr>
        <w:ind w:left="-450" w:firstLine="90"/>
      </w:pPr>
      <w:r>
        <w:rPr>
          <w:noProof/>
        </w:rPr>
        <w:drawing>
          <wp:inline distT="0" distB="0" distL="0" distR="0" wp14:anchorId="263490AF" wp14:editId="0DBAD1BA">
            <wp:extent cx="7137735" cy="1212783"/>
            <wp:effectExtent l="0" t="0" r="0" b="0"/>
            <wp:docPr id="1596410694" name="Picture 5" descr="Screenshot from JetBlue's 2023 proxy statement with a table that includes disabled directors alongside racial background and gender identity. JetBlue discloses 1 male person with a disability in 20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10694" name="Picture 5" descr="Screenshot from JetBlue's 2023 proxy statement with a table that includes disabled directors alongside racial background and gender identity. JetBlue discloses 1 male person with a disability in 2023. 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852" cy="125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4AF5" w14:textId="77777777" w:rsidR="00D91490" w:rsidRDefault="00D91490" w:rsidP="000B2C55"/>
    <w:p w14:paraId="13FCEBD2" w14:textId="1D22CC46" w:rsidR="001504B1" w:rsidRDefault="000C03EC" w:rsidP="000B2C55">
      <w:r>
        <w:lastRenderedPageBreak/>
        <w:t xml:space="preserve">Sample Disclosure. </w:t>
      </w:r>
      <w:hyperlink r:id="rId43" w:history="1">
        <w:r w:rsidRPr="000C03EC">
          <w:rPr>
            <w:rStyle w:val="Hyperlink"/>
          </w:rPr>
          <w:t>American Water Proxy Statement,</w:t>
        </w:r>
      </w:hyperlink>
      <w:r>
        <w:t xml:space="preserve"> 2023. </w:t>
      </w:r>
    </w:p>
    <w:p w14:paraId="0FA113A4" w14:textId="786002CD" w:rsidR="001504B1" w:rsidRDefault="000C03EC" w:rsidP="00FA38BB">
      <w:pPr>
        <w:ind w:left="-360"/>
      </w:pPr>
      <w:r>
        <w:rPr>
          <w:noProof/>
        </w:rPr>
        <w:drawing>
          <wp:inline distT="0" distB="0" distL="0" distR="0" wp14:anchorId="6ABB57AD" wp14:editId="151C43C1">
            <wp:extent cx="6946073" cy="5433238"/>
            <wp:effectExtent l="0" t="0" r="1270" b="2540"/>
            <wp:docPr id="123765836" name="Picture 2" descr="Screenshot from American Water's 2023 proxy statement with a table that includes disability alongside racial/ethnic diversity, female diversity, military/veteran diversity and professional backgrounds. American Water discloses 1 disabled female director in 2023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5836" name="Picture 2" descr="Screenshot from American Water's 2023 proxy statement with a table that includes disability alongside racial/ethnic diversity, female diversity, military/veteran diversity and professional backgrounds. American Water discloses 1 disabled female director in 2023. 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213" cy="545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6BE1" w14:textId="77777777" w:rsidR="001504B1" w:rsidRDefault="001504B1" w:rsidP="000B2C55"/>
    <w:p w14:paraId="23C6E034" w14:textId="0107589F" w:rsidR="00D45E42" w:rsidRDefault="00555847" w:rsidP="000B2C55">
      <w:r>
        <w:rPr>
          <w:noProof/>
        </w:rPr>
        <w:drawing>
          <wp:anchor distT="0" distB="0" distL="114300" distR="114300" simplePos="0" relativeHeight="251658240" behindDoc="1" locked="0" layoutInCell="1" allowOverlap="1" wp14:anchorId="726DCA3E" wp14:editId="11678DC1">
            <wp:simplePos x="0" y="0"/>
            <wp:positionH relativeFrom="column">
              <wp:posOffset>-628650</wp:posOffset>
            </wp:positionH>
            <wp:positionV relativeFrom="paragraph">
              <wp:posOffset>99476</wp:posOffset>
            </wp:positionV>
            <wp:extent cx="8014781" cy="2586990"/>
            <wp:effectExtent l="0" t="0" r="0" b="3810"/>
            <wp:wrapNone/>
            <wp:docPr id="889740959" name="Picture 1">
              <a:hlinkClick xmlns:a="http://schemas.openxmlformats.org/drawingml/2006/main" r:id="rId20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40959" name="Picture 1">
                      <a:hlinkClick r:id="rId20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3" r="-16" b="16348"/>
                    <a:stretch/>
                  </pic:blipFill>
                  <pic:spPr bwMode="auto">
                    <a:xfrm>
                      <a:off x="0" y="0"/>
                      <a:ext cx="8014781" cy="258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1A4BE" w14:textId="36F0FDF0" w:rsidR="000B2C55" w:rsidRDefault="00D45E42" w:rsidP="00D45E42">
      <w:pPr>
        <w:spacing w:after="0"/>
        <w:sectPr w:rsidR="000B2C55" w:rsidSect="003655EC">
          <w:pgSz w:w="12240" w:h="15840"/>
          <w:pgMar w:top="1110" w:right="1080" w:bottom="1440" w:left="990" w:header="0" w:footer="0" w:gutter="0"/>
          <w:cols w:space="720"/>
          <w:docGrid w:linePitch="360"/>
        </w:sectPr>
      </w:pPr>
      <w:r>
        <w:br w:type="page"/>
      </w:r>
    </w:p>
    <w:p w14:paraId="58049F99" w14:textId="77777777" w:rsidR="002F62DA" w:rsidRDefault="002F62DA" w:rsidP="002F62DA">
      <w:pPr>
        <w:pStyle w:val="Heading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Model Proxy Voting Guidelines for Disability on Corporate Boards </w:t>
      </w:r>
    </w:p>
    <w:p w14:paraId="446B8FBE" w14:textId="77777777" w:rsidR="002F62DA" w:rsidRDefault="002F62DA" w:rsidP="002F62DA">
      <w:hyperlink r:id="rId45" w:history="1">
        <w:r w:rsidRPr="00C20C8F">
          <w:rPr>
            <w:rStyle w:val="Hyperlink"/>
          </w:rPr>
          <w:t>New York State Common Retirement Fund Proxy Voting Guidelines</w:t>
        </w:r>
      </w:hyperlink>
      <w:r>
        <w:t xml:space="preserve"> (p.9) </w:t>
      </w:r>
    </w:p>
    <w:p w14:paraId="6D7639B9" w14:textId="77777777" w:rsidR="002F62DA" w:rsidRDefault="002F62DA" w:rsidP="002F62DA">
      <w:r>
        <w:t xml:space="preserve">“The Fund will scrutinize boards that are not sufficiently diverse, including diversity of age, race, gender, ethnicity, sexual orientation and gender identity, geography, and </w:t>
      </w:r>
      <w:r w:rsidRPr="001D6F5E">
        <w:rPr>
          <w:b/>
          <w:bCs/>
          <w:color w:val="00794B" w:themeColor="accent4"/>
        </w:rPr>
        <w:t>disability</w:t>
      </w:r>
      <w:r>
        <w:t xml:space="preserve">. A </w:t>
      </w:r>
      <w:r w:rsidRPr="001D6F5E">
        <w:rPr>
          <w:color w:val="00794B" w:themeColor="accent4"/>
        </w:rPr>
        <w:t>determination that a board is not sufficiently diverse may result in the Fund withholding support from incumbent board nominees</w:t>
      </w:r>
      <w:r>
        <w:t xml:space="preserve">.” </w:t>
      </w:r>
    </w:p>
    <w:p w14:paraId="505EE72F" w14:textId="5C2B0058" w:rsidR="004E5864" w:rsidRDefault="004E5864" w:rsidP="00FB0609">
      <w:pPr>
        <w:pStyle w:val="Heading2"/>
        <w:rPr>
          <w:sz w:val="24"/>
          <w:szCs w:val="24"/>
        </w:rPr>
      </w:pPr>
      <w:r>
        <w:rPr>
          <w:sz w:val="24"/>
          <w:szCs w:val="24"/>
        </w:rPr>
        <w:t>Support for</w:t>
      </w:r>
      <w:r w:rsidR="00FB0609">
        <w:rPr>
          <w:sz w:val="24"/>
          <w:szCs w:val="24"/>
        </w:rPr>
        <w:t xml:space="preserve"> Integrat</w:t>
      </w:r>
      <w:r>
        <w:rPr>
          <w:sz w:val="24"/>
          <w:szCs w:val="24"/>
        </w:rPr>
        <w:t>ing</w:t>
      </w:r>
      <w:r w:rsidR="00FB0609">
        <w:rPr>
          <w:sz w:val="24"/>
          <w:szCs w:val="24"/>
        </w:rPr>
        <w:t xml:space="preserve"> Disability into </w:t>
      </w:r>
      <w:r>
        <w:rPr>
          <w:sz w:val="24"/>
          <w:szCs w:val="24"/>
        </w:rPr>
        <w:t xml:space="preserve">Corporate Governance </w:t>
      </w:r>
    </w:p>
    <w:p w14:paraId="28DF437C" w14:textId="5D0A2F60" w:rsidR="004E5864" w:rsidRPr="00D2704D" w:rsidRDefault="004E5864" w:rsidP="009178B7">
      <w:r w:rsidRPr="00D2704D">
        <w:t>“Including disability diversity in the corporate boardroom would mark a major turning point for disability rights and have the sin</w:t>
      </w:r>
      <w:r w:rsidRPr="00D2704D">
        <w:rPr>
          <w:color w:val="111118" w:themeColor="accent6" w:themeShade="1A"/>
        </w:rPr>
        <w:t xml:space="preserve">gle largest impact on the economic independence and quality of life </w:t>
      </w:r>
      <w:r w:rsidRPr="00D2704D">
        <w:t>for</w:t>
      </w:r>
      <w:r w:rsidRPr="00D2704D">
        <w:rPr>
          <w:b/>
          <w:bCs/>
        </w:rPr>
        <w:t xml:space="preserve"> </w:t>
      </w:r>
      <w:r w:rsidRPr="00D2704D">
        <w:t>millions of people with disabilities</w:t>
      </w:r>
      <w:r w:rsidR="004B0D3E" w:rsidRPr="00D2704D">
        <w:t xml:space="preserve">. </w:t>
      </w:r>
      <w:r w:rsidRPr="00D2704D">
        <w:t xml:space="preserve">If this omission persists, </w:t>
      </w:r>
      <w:r w:rsidRPr="00D2704D">
        <w:rPr>
          <w:color w:val="111118" w:themeColor="accent6" w:themeShade="1A"/>
        </w:rPr>
        <w:t xml:space="preserve">then </w:t>
      </w:r>
      <w:r w:rsidRPr="009C2C16">
        <w:rPr>
          <w:color w:val="00794B" w:themeColor="accent4"/>
        </w:rPr>
        <w:t xml:space="preserve">Nasdaq and the SEC will miss an enormous </w:t>
      </w:r>
      <w:r w:rsidRPr="009C2C16">
        <w:rPr>
          <w:b/>
          <w:bCs/>
          <w:color w:val="00794B" w:themeColor="accent4"/>
        </w:rPr>
        <w:t>opportunity</w:t>
      </w:r>
      <w:r w:rsidRPr="009C2C16">
        <w:rPr>
          <w:color w:val="00794B" w:themeColor="accent4"/>
        </w:rPr>
        <w:t xml:space="preserve"> to ensure that corporate leadership reflects the diversity of the U.S. and the world</w:t>
      </w:r>
      <w:r w:rsidRPr="00D2704D">
        <w:t>.”</w:t>
      </w:r>
      <w:r w:rsidR="00604CD4" w:rsidRPr="00D2704D">
        <w:t xml:space="preserve"> – </w:t>
      </w:r>
      <w:r w:rsidR="00C02EEC" w:rsidRPr="00D2704D">
        <w:t xml:space="preserve">Ted Kennedy Jr., </w:t>
      </w:r>
      <w:r w:rsidR="009178B7" w:rsidRPr="00D2704D">
        <w:t xml:space="preserve">Co-Chair of the Disability Equality Index, Past President of </w:t>
      </w:r>
      <w:r w:rsidR="00C02EEC" w:rsidRPr="00D2704D">
        <w:t xml:space="preserve">AAPD </w:t>
      </w:r>
    </w:p>
    <w:p w14:paraId="275187AF" w14:textId="77777777" w:rsidR="00C20C8F" w:rsidRPr="006726B4" w:rsidRDefault="00C20C8F" w:rsidP="00C20C8F">
      <w:pPr>
        <w:rPr>
          <w:color w:val="111118" w:themeColor="accent6" w:themeShade="1A"/>
        </w:rPr>
      </w:pPr>
      <w:r w:rsidRPr="00D2704D">
        <w:rPr>
          <w:color w:val="111118" w:themeColor="accent6" w:themeShade="1A"/>
          <w:shd w:val="clear" w:color="auto" w:fill="FEFEFE"/>
        </w:rPr>
        <w:t xml:space="preserve">“Boards are most effective at governing when members bring diverse abilities and perspectives to the table. While Nasdaq missed an </w:t>
      </w:r>
      <w:r w:rsidRPr="00D2704D">
        <w:rPr>
          <w:b/>
          <w:bCs/>
          <w:color w:val="111118" w:themeColor="accent6" w:themeShade="1A"/>
          <w:shd w:val="clear" w:color="auto" w:fill="FEFEFE"/>
        </w:rPr>
        <w:t>opportunity</w:t>
      </w:r>
      <w:r w:rsidRPr="00D2704D">
        <w:rPr>
          <w:color w:val="111118" w:themeColor="accent6" w:themeShade="1A"/>
          <w:shd w:val="clear" w:color="auto" w:fill="FEFEFE"/>
        </w:rPr>
        <w:t xml:space="preserve"> to hold the torch, the disability community is now tuned in to the fact that they're being excluded. Through our engagement with corporate leadership and stakeholders, </w:t>
      </w:r>
      <w:r w:rsidRPr="009C2C16">
        <w:rPr>
          <w:color w:val="00794B" w:themeColor="accent4"/>
          <w:shd w:val="clear" w:color="auto" w:fill="FEFEFE"/>
        </w:rPr>
        <w:t xml:space="preserve">people with disabilities will have an </w:t>
      </w:r>
      <w:r w:rsidRPr="009C2C16">
        <w:rPr>
          <w:b/>
          <w:bCs/>
          <w:color w:val="00794B" w:themeColor="accent4"/>
          <w:shd w:val="clear" w:color="auto" w:fill="FEFEFE"/>
        </w:rPr>
        <w:t>opportunity</w:t>
      </w:r>
      <w:r w:rsidRPr="009C2C16">
        <w:rPr>
          <w:color w:val="00794B" w:themeColor="accent4"/>
          <w:shd w:val="clear" w:color="auto" w:fill="FEFEFE"/>
        </w:rPr>
        <w:t xml:space="preserve"> to prove they belong at the highest levels of business</w:t>
      </w:r>
      <w:r w:rsidRPr="00D2704D">
        <w:rPr>
          <w:color w:val="111118" w:themeColor="accent6" w:themeShade="1A"/>
          <w:shd w:val="clear" w:color="auto" w:fill="FEFEFE"/>
        </w:rPr>
        <w:t xml:space="preserve">.” </w:t>
      </w:r>
      <w:r w:rsidRPr="00D2704D">
        <w:rPr>
          <w:color w:val="111118" w:themeColor="accent6" w:themeShade="1A"/>
        </w:rPr>
        <w:t>– Jill Houghton, President &amp; CEO of Disability:IN</w:t>
      </w:r>
    </w:p>
    <w:p w14:paraId="127DDD94" w14:textId="301D7F63" w:rsidR="00604CD4" w:rsidRDefault="00604CD4" w:rsidP="009178B7">
      <w:pPr>
        <w:rPr>
          <w:color w:val="111118" w:themeColor="accent6" w:themeShade="1A"/>
        </w:rPr>
      </w:pPr>
      <w:r w:rsidRPr="00D2704D">
        <w:rPr>
          <w:color w:val="111118" w:themeColor="accent6" w:themeShade="1A"/>
        </w:rPr>
        <w:t xml:space="preserve">“Companies should </w:t>
      </w:r>
      <w:r w:rsidRPr="009C2C16">
        <w:rPr>
          <w:color w:val="00794B" w:themeColor="accent4"/>
        </w:rPr>
        <w:t xml:space="preserve">seize the </w:t>
      </w:r>
      <w:r w:rsidRPr="009C2C16">
        <w:rPr>
          <w:b/>
          <w:bCs/>
          <w:color w:val="00794B" w:themeColor="accent4"/>
        </w:rPr>
        <w:t>opportunity</w:t>
      </w:r>
      <w:r w:rsidRPr="009C2C16">
        <w:rPr>
          <w:color w:val="00794B" w:themeColor="accent4"/>
        </w:rPr>
        <w:t xml:space="preserve"> to join the growing number of corporations that recognize the benefits of disability inclusion and are reporting their efforts</w:t>
      </w:r>
      <w:r w:rsidRPr="00D2704D">
        <w:rPr>
          <w:color w:val="111118" w:themeColor="accent6" w:themeShade="1A"/>
        </w:rPr>
        <w:t>.” – Thomas DiNapoli, New York State Comptroller</w:t>
      </w:r>
    </w:p>
    <w:p w14:paraId="71C2C2F4" w14:textId="77777777" w:rsidR="002F62DA" w:rsidRPr="00C20C8F" w:rsidRDefault="002F62DA" w:rsidP="00C20C8F"/>
    <w:p w14:paraId="3DB58DAB" w14:textId="4ECA1957" w:rsidR="006726B4" w:rsidRDefault="006726B4" w:rsidP="00C20C8F">
      <w:pPr>
        <w:pStyle w:val="Heading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6951CE" wp14:editId="4B2CB6CE">
            <wp:extent cx="6457950" cy="2870546"/>
            <wp:effectExtent l="0" t="0" r="0" b="0"/>
            <wp:docPr id="1528532346" name="Picture 12" descr="High-rise board room with modern chairs and window view of citysca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32346" name="Picture 12" descr="High-rise board room with modern chairs and window view of cityscape "/>
                    <pic:cNvPicPr/>
                  </pic:nvPicPr>
                  <pic:blipFill rotWithShape="1">
                    <a:blip r:embed="rId46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9"/>
                    <a:stretch/>
                  </pic:blipFill>
                  <pic:spPr bwMode="auto">
                    <a:xfrm>
                      <a:off x="0" y="0"/>
                      <a:ext cx="6457950" cy="28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9641E" w14:textId="2D863C84" w:rsidR="007B1244" w:rsidRPr="003F71EA" w:rsidRDefault="007B1244" w:rsidP="003F71EA">
      <w:pPr>
        <w:rPr>
          <w:sz w:val="22"/>
          <w:szCs w:val="22"/>
        </w:rPr>
      </w:pPr>
    </w:p>
    <w:sectPr w:rsidR="007B1244" w:rsidRPr="003F71EA" w:rsidSect="003655EC">
      <w:pgSz w:w="12240" w:h="15840"/>
      <w:pgMar w:top="1110" w:right="1080" w:bottom="1440" w:left="9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E95B6" w14:textId="77777777" w:rsidR="003655EC" w:rsidRDefault="003655EC" w:rsidP="001D6D91">
      <w:r>
        <w:separator/>
      </w:r>
    </w:p>
  </w:endnote>
  <w:endnote w:type="continuationSeparator" w:id="0">
    <w:p w14:paraId="60B744F1" w14:textId="77777777" w:rsidR="003655EC" w:rsidRDefault="003655EC" w:rsidP="001D6D91">
      <w:r>
        <w:continuationSeparator/>
      </w:r>
    </w:p>
  </w:endnote>
  <w:endnote w:type="continuationNotice" w:id="1">
    <w:p w14:paraId="39ECE9E6" w14:textId="77777777" w:rsidR="003655EC" w:rsidRDefault="003655E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19338874"/>
      <w:docPartObj>
        <w:docPartGallery w:val="Page Numbers (Bottom of Page)"/>
        <w:docPartUnique/>
      </w:docPartObj>
    </w:sdtPr>
    <w:sdtContent>
      <w:p w14:paraId="2D7C12C4" w14:textId="2336C61A" w:rsidR="001A034E" w:rsidRDefault="001A034E" w:rsidP="001D6D91">
        <w:pPr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972058804"/>
      <w:docPartObj>
        <w:docPartGallery w:val="Page Numbers (Bottom of Page)"/>
        <w:docPartUnique/>
      </w:docPartObj>
    </w:sdtPr>
    <w:sdtContent>
      <w:p w14:paraId="08356FA5" w14:textId="3985F4AB" w:rsidR="001A034E" w:rsidRDefault="001A034E" w:rsidP="001D6D91">
        <w:pPr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2D83CC" w14:textId="67BBED6C" w:rsidR="00B3701C" w:rsidRDefault="00B3701C" w:rsidP="001D6D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4764B" w14:textId="5F90F3BD" w:rsidR="00A2752C" w:rsidRPr="00802BAF" w:rsidRDefault="00A2752C" w:rsidP="001D6D91">
    <w:pPr>
      <w:rPr>
        <w:color w:val="242C65"/>
        <w:sz w:val="20"/>
        <w:szCs w:val="20"/>
      </w:rPr>
    </w:pPr>
    <w:r w:rsidRPr="00802BAF">
      <w:rPr>
        <w:b/>
        <w:bCs/>
        <w:i/>
        <w:iCs/>
        <w:caps/>
        <w:color w:val="0066CC"/>
        <w:sz w:val="20"/>
        <w:szCs w:val="20"/>
      </w:rPr>
      <w:fldChar w:fldCharType="begin"/>
    </w:r>
    <w:r w:rsidRPr="00802BAF">
      <w:rPr>
        <w:b/>
        <w:bCs/>
        <w:caps/>
        <w:color w:val="0066CC"/>
        <w:sz w:val="20"/>
        <w:szCs w:val="20"/>
      </w:rPr>
      <w:instrText xml:space="preserve"> PAGE   \* MERGEFORMAT </w:instrText>
    </w:r>
    <w:r w:rsidRPr="00802BAF">
      <w:rPr>
        <w:b/>
        <w:bCs/>
        <w:i/>
        <w:iCs/>
        <w:caps/>
        <w:color w:val="0066CC"/>
        <w:sz w:val="20"/>
        <w:szCs w:val="20"/>
      </w:rPr>
      <w:fldChar w:fldCharType="separate"/>
    </w:r>
    <w:r w:rsidRPr="00802BAF">
      <w:rPr>
        <w:b/>
        <w:bCs/>
        <w:caps/>
        <w:noProof/>
        <w:color w:val="0066CC"/>
        <w:sz w:val="20"/>
        <w:szCs w:val="20"/>
      </w:rPr>
      <w:t>2</w:t>
    </w:r>
    <w:r w:rsidRPr="00802BAF">
      <w:rPr>
        <w:b/>
        <w:bCs/>
        <w:i/>
        <w:iCs/>
        <w:caps/>
        <w:noProof/>
        <w:color w:val="0066CC"/>
        <w:sz w:val="20"/>
        <w:szCs w:val="20"/>
      </w:rPr>
      <w:fldChar w:fldCharType="end"/>
    </w:r>
    <w:r w:rsidRPr="00802BAF">
      <w:rPr>
        <w:caps/>
        <w:noProof/>
        <w:color w:val="047BC1" w:themeColor="text2"/>
        <w:sz w:val="20"/>
        <w:szCs w:val="20"/>
      </w:rPr>
      <w:t xml:space="preserve"> </w:t>
    </w:r>
    <w:r w:rsidRPr="00802BAF">
      <w:rPr>
        <w:caps/>
        <w:noProof/>
        <w:sz w:val="20"/>
        <w:szCs w:val="20"/>
      </w:rPr>
      <w:t>|</w:t>
    </w:r>
    <w:r w:rsidRPr="00802BAF">
      <w:rPr>
        <w:sz w:val="20"/>
        <w:szCs w:val="20"/>
      </w:rPr>
      <w:t xml:space="preserve"> </w:t>
    </w:r>
    <w:r w:rsidRPr="00802BAF">
      <w:rPr>
        <w:color w:val="242C65"/>
        <w:sz w:val="20"/>
        <w:szCs w:val="20"/>
      </w:rPr>
      <w:t xml:space="preserve">Learn more about </w:t>
    </w:r>
    <w:hyperlink r:id="rId1" w:history="1">
      <w:r w:rsidR="005E13DE" w:rsidRPr="00802BAF">
        <w:rPr>
          <w:rStyle w:val="Hyperlink"/>
          <w:color w:val="242C65"/>
          <w:sz w:val="20"/>
          <w:szCs w:val="20"/>
        </w:rPr>
        <w:t>Disability:IN online</w:t>
      </w:r>
    </w:hyperlink>
    <w:r w:rsidRPr="00802BAF">
      <w:rPr>
        <w:color w:val="242C65"/>
        <w:sz w:val="20"/>
        <w:szCs w:val="20"/>
      </w:rPr>
      <w:t>.</w:t>
    </w:r>
  </w:p>
  <w:p w14:paraId="484322AA" w14:textId="2CCAB66C" w:rsidR="009C721C" w:rsidRPr="00A2752C" w:rsidRDefault="00A2752C" w:rsidP="001D6D91">
    <w:pPr>
      <w:spacing w:after="0"/>
      <w:ind w:left="-447" w:right="-547" w:hanging="547"/>
      <w:rPr>
        <w:noProof/>
        <w:color w:val="047BC1" w:themeColor="text2"/>
      </w:rPr>
    </w:pPr>
    <w:r w:rsidRPr="00E0022A">
      <w:rPr>
        <w:noProof/>
      </w:rPr>
      <w:drawing>
        <wp:inline distT="0" distB="0" distL="0" distR="0" wp14:anchorId="3E476F57" wp14:editId="375AEC0E">
          <wp:extent cx="7780149" cy="400003"/>
          <wp:effectExtent l="0" t="0" r="0" b="0"/>
          <wp:docPr id="1539934236" name="Picture 15399342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5151" cy="422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A678E" w14:textId="77777777" w:rsidR="00555847" w:rsidRDefault="005558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C0763" w14:textId="77777777" w:rsidR="003655EC" w:rsidRDefault="003655EC" w:rsidP="001D6D91">
      <w:r>
        <w:separator/>
      </w:r>
    </w:p>
  </w:footnote>
  <w:footnote w:type="continuationSeparator" w:id="0">
    <w:p w14:paraId="79ACBA1D" w14:textId="77777777" w:rsidR="003655EC" w:rsidRDefault="003655EC" w:rsidP="001D6D91">
      <w:r>
        <w:continuationSeparator/>
      </w:r>
    </w:p>
  </w:footnote>
  <w:footnote w:type="continuationNotice" w:id="1">
    <w:p w14:paraId="587E9A82" w14:textId="77777777" w:rsidR="003655EC" w:rsidRDefault="003655E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DC4EC" w14:textId="77777777" w:rsidR="00555847" w:rsidRDefault="005558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B5EA1" w14:textId="34D3276B" w:rsidR="00206A40" w:rsidRDefault="00C57684" w:rsidP="001D6D91">
    <w:pPr>
      <w:ind w:hanging="990"/>
    </w:pPr>
    <w:r>
      <w:rPr>
        <w:noProof/>
      </w:rPr>
      <w:drawing>
        <wp:inline distT="0" distB="0" distL="0" distR="0" wp14:anchorId="74176F79" wp14:editId="2BA09D4E">
          <wp:extent cx="7780020" cy="762702"/>
          <wp:effectExtent l="0" t="0" r="5080" b="0"/>
          <wp:docPr id="185902217" name="Picture 185902217" descr="Disability:IN with tagline Your business partner for disability inclusion. To the right is a repeated pattern with the icon logo IN against a navy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sability:IN with tagline Your business partner for disability inclusion. To the right is a repeated pattern with the icon logo IN against a navy background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149" cy="783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DEF08" w14:textId="77777777" w:rsidR="00555847" w:rsidRDefault="005558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1CB8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D1015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300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CD2F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54443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B46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7257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E4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5EB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FEAE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6F37AB"/>
    <w:multiLevelType w:val="multilevel"/>
    <w:tmpl w:val="D550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3991B79"/>
    <w:multiLevelType w:val="multilevel"/>
    <w:tmpl w:val="699E4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3D472F8"/>
    <w:multiLevelType w:val="hybridMultilevel"/>
    <w:tmpl w:val="C18A6706"/>
    <w:lvl w:ilvl="0" w:tplc="BA1C4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5669A6"/>
    <w:multiLevelType w:val="hybridMultilevel"/>
    <w:tmpl w:val="38DA7038"/>
    <w:lvl w:ilvl="0" w:tplc="E27EA4BC">
      <w:start w:val="6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2E1BA8"/>
    <w:multiLevelType w:val="hybridMultilevel"/>
    <w:tmpl w:val="89AAD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A4A49"/>
    <w:multiLevelType w:val="hybridMultilevel"/>
    <w:tmpl w:val="28B04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6305F9"/>
    <w:multiLevelType w:val="multilevel"/>
    <w:tmpl w:val="9F20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C8518A9"/>
    <w:multiLevelType w:val="multilevel"/>
    <w:tmpl w:val="75E2B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D527108"/>
    <w:multiLevelType w:val="hybridMultilevel"/>
    <w:tmpl w:val="F9AE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98382A"/>
    <w:multiLevelType w:val="hybridMultilevel"/>
    <w:tmpl w:val="696A61B8"/>
    <w:lvl w:ilvl="0" w:tplc="2D14CC48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41BAB"/>
    <w:multiLevelType w:val="multilevel"/>
    <w:tmpl w:val="2710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BCB43F5"/>
    <w:multiLevelType w:val="hybridMultilevel"/>
    <w:tmpl w:val="D9C4F67C"/>
    <w:lvl w:ilvl="0" w:tplc="93F0E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4120296">
    <w:abstractNumId w:val="0"/>
  </w:num>
  <w:num w:numId="2" w16cid:durableId="228611416">
    <w:abstractNumId w:val="1"/>
  </w:num>
  <w:num w:numId="3" w16cid:durableId="1743526371">
    <w:abstractNumId w:val="2"/>
  </w:num>
  <w:num w:numId="4" w16cid:durableId="1617256541">
    <w:abstractNumId w:val="3"/>
  </w:num>
  <w:num w:numId="5" w16cid:durableId="2127920980">
    <w:abstractNumId w:val="8"/>
  </w:num>
  <w:num w:numId="6" w16cid:durableId="370350866">
    <w:abstractNumId w:val="4"/>
  </w:num>
  <w:num w:numId="7" w16cid:durableId="1465392018">
    <w:abstractNumId w:val="5"/>
  </w:num>
  <w:num w:numId="8" w16cid:durableId="1594438176">
    <w:abstractNumId w:val="6"/>
  </w:num>
  <w:num w:numId="9" w16cid:durableId="1696496650">
    <w:abstractNumId w:val="7"/>
  </w:num>
  <w:num w:numId="10" w16cid:durableId="2134470373">
    <w:abstractNumId w:val="9"/>
  </w:num>
  <w:num w:numId="11" w16cid:durableId="223226107">
    <w:abstractNumId w:val="21"/>
  </w:num>
  <w:num w:numId="12" w16cid:durableId="431705563">
    <w:abstractNumId w:val="15"/>
  </w:num>
  <w:num w:numId="13" w16cid:durableId="1009020949">
    <w:abstractNumId w:val="14"/>
  </w:num>
  <w:num w:numId="14" w16cid:durableId="1370644069">
    <w:abstractNumId w:val="12"/>
  </w:num>
  <w:num w:numId="15" w16cid:durableId="850339431">
    <w:abstractNumId w:val="19"/>
  </w:num>
  <w:num w:numId="16" w16cid:durableId="998267157">
    <w:abstractNumId w:val="11"/>
  </w:num>
  <w:num w:numId="17" w16cid:durableId="853109240">
    <w:abstractNumId w:val="20"/>
  </w:num>
  <w:num w:numId="18" w16cid:durableId="220337700">
    <w:abstractNumId w:val="16"/>
  </w:num>
  <w:num w:numId="19" w16cid:durableId="1383948049">
    <w:abstractNumId w:val="10"/>
  </w:num>
  <w:num w:numId="20" w16cid:durableId="1586959841">
    <w:abstractNumId w:val="17"/>
  </w:num>
  <w:num w:numId="21" w16cid:durableId="2123694185">
    <w:abstractNumId w:val="13"/>
  </w:num>
  <w:num w:numId="22" w16cid:durableId="199618526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40"/>
    <w:rsid w:val="00005025"/>
    <w:rsid w:val="000121C8"/>
    <w:rsid w:val="00014A02"/>
    <w:rsid w:val="00020A0C"/>
    <w:rsid w:val="00036779"/>
    <w:rsid w:val="00065192"/>
    <w:rsid w:val="00065620"/>
    <w:rsid w:val="00085134"/>
    <w:rsid w:val="00087236"/>
    <w:rsid w:val="00092CE4"/>
    <w:rsid w:val="000934CC"/>
    <w:rsid w:val="00097ACF"/>
    <w:rsid w:val="00097CA9"/>
    <w:rsid w:val="000B2C55"/>
    <w:rsid w:val="000B4CEA"/>
    <w:rsid w:val="000C03EC"/>
    <w:rsid w:val="000C7A92"/>
    <w:rsid w:val="000E6A32"/>
    <w:rsid w:val="000E7FCA"/>
    <w:rsid w:val="00112110"/>
    <w:rsid w:val="00112A56"/>
    <w:rsid w:val="001449D0"/>
    <w:rsid w:val="00147B87"/>
    <w:rsid w:val="001504B1"/>
    <w:rsid w:val="00164546"/>
    <w:rsid w:val="00166123"/>
    <w:rsid w:val="001709FF"/>
    <w:rsid w:val="00193CC5"/>
    <w:rsid w:val="00195DC3"/>
    <w:rsid w:val="001A034E"/>
    <w:rsid w:val="001A560F"/>
    <w:rsid w:val="001B561C"/>
    <w:rsid w:val="001C02F8"/>
    <w:rsid w:val="001C36CB"/>
    <w:rsid w:val="001D2873"/>
    <w:rsid w:val="001D2F05"/>
    <w:rsid w:val="001D3ACD"/>
    <w:rsid w:val="001D6D91"/>
    <w:rsid w:val="001D6F5E"/>
    <w:rsid w:val="001E0B9E"/>
    <w:rsid w:val="001E23C6"/>
    <w:rsid w:val="001E2E39"/>
    <w:rsid w:val="001F72B3"/>
    <w:rsid w:val="00206A40"/>
    <w:rsid w:val="00206F3B"/>
    <w:rsid w:val="00213ACA"/>
    <w:rsid w:val="002222FA"/>
    <w:rsid w:val="002268F4"/>
    <w:rsid w:val="00227A4A"/>
    <w:rsid w:val="00296D4D"/>
    <w:rsid w:val="00297391"/>
    <w:rsid w:val="002B483E"/>
    <w:rsid w:val="002D08D8"/>
    <w:rsid w:val="002E7453"/>
    <w:rsid w:val="002E7508"/>
    <w:rsid w:val="002F62DA"/>
    <w:rsid w:val="002F7DA5"/>
    <w:rsid w:val="0033096C"/>
    <w:rsid w:val="00334E47"/>
    <w:rsid w:val="00336CD0"/>
    <w:rsid w:val="003523AC"/>
    <w:rsid w:val="003655EC"/>
    <w:rsid w:val="0037168C"/>
    <w:rsid w:val="0037353A"/>
    <w:rsid w:val="00374768"/>
    <w:rsid w:val="00393D25"/>
    <w:rsid w:val="003B00E1"/>
    <w:rsid w:val="003B18E6"/>
    <w:rsid w:val="003C4938"/>
    <w:rsid w:val="003D51D0"/>
    <w:rsid w:val="003D6F74"/>
    <w:rsid w:val="003F71EA"/>
    <w:rsid w:val="003F7949"/>
    <w:rsid w:val="0040678B"/>
    <w:rsid w:val="00407E8A"/>
    <w:rsid w:val="00412ED6"/>
    <w:rsid w:val="00420B6B"/>
    <w:rsid w:val="00424DAA"/>
    <w:rsid w:val="00430614"/>
    <w:rsid w:val="0044476B"/>
    <w:rsid w:val="00491301"/>
    <w:rsid w:val="0049684F"/>
    <w:rsid w:val="004B0D3E"/>
    <w:rsid w:val="004B451B"/>
    <w:rsid w:val="004C1DC9"/>
    <w:rsid w:val="004C606A"/>
    <w:rsid w:val="004D4917"/>
    <w:rsid w:val="004E167C"/>
    <w:rsid w:val="004E5864"/>
    <w:rsid w:val="004F398C"/>
    <w:rsid w:val="00502891"/>
    <w:rsid w:val="0052253F"/>
    <w:rsid w:val="00537A8A"/>
    <w:rsid w:val="00541F21"/>
    <w:rsid w:val="005552A2"/>
    <w:rsid w:val="00555847"/>
    <w:rsid w:val="00584758"/>
    <w:rsid w:val="005B0146"/>
    <w:rsid w:val="005D48A2"/>
    <w:rsid w:val="005E1069"/>
    <w:rsid w:val="005E13DE"/>
    <w:rsid w:val="005F1822"/>
    <w:rsid w:val="00604CD4"/>
    <w:rsid w:val="006148AF"/>
    <w:rsid w:val="00616D23"/>
    <w:rsid w:val="00623427"/>
    <w:rsid w:val="006321A6"/>
    <w:rsid w:val="00641832"/>
    <w:rsid w:val="0064371A"/>
    <w:rsid w:val="00657124"/>
    <w:rsid w:val="006726B4"/>
    <w:rsid w:val="00684EF5"/>
    <w:rsid w:val="006A0DCC"/>
    <w:rsid w:val="006A45F3"/>
    <w:rsid w:val="006B1871"/>
    <w:rsid w:val="006D5004"/>
    <w:rsid w:val="006D5076"/>
    <w:rsid w:val="006D5122"/>
    <w:rsid w:val="006E545F"/>
    <w:rsid w:val="006F1ABE"/>
    <w:rsid w:val="006F6AB5"/>
    <w:rsid w:val="006F6DE6"/>
    <w:rsid w:val="00703AE7"/>
    <w:rsid w:val="00704506"/>
    <w:rsid w:val="0071050B"/>
    <w:rsid w:val="00712F41"/>
    <w:rsid w:val="00722732"/>
    <w:rsid w:val="007673B6"/>
    <w:rsid w:val="007722D7"/>
    <w:rsid w:val="00773A23"/>
    <w:rsid w:val="007A351F"/>
    <w:rsid w:val="007A47A1"/>
    <w:rsid w:val="007B1244"/>
    <w:rsid w:val="007B1AC2"/>
    <w:rsid w:val="007B6D8D"/>
    <w:rsid w:val="007D5493"/>
    <w:rsid w:val="007F422A"/>
    <w:rsid w:val="00802BAF"/>
    <w:rsid w:val="00810E1F"/>
    <w:rsid w:val="00832D61"/>
    <w:rsid w:val="00833D63"/>
    <w:rsid w:val="0088216F"/>
    <w:rsid w:val="0088241B"/>
    <w:rsid w:val="00891CD5"/>
    <w:rsid w:val="008A083D"/>
    <w:rsid w:val="008A0DE3"/>
    <w:rsid w:val="008C285C"/>
    <w:rsid w:val="008C6678"/>
    <w:rsid w:val="008D043D"/>
    <w:rsid w:val="008D367D"/>
    <w:rsid w:val="008E234A"/>
    <w:rsid w:val="009178B7"/>
    <w:rsid w:val="00923D06"/>
    <w:rsid w:val="0093220C"/>
    <w:rsid w:val="00932BC7"/>
    <w:rsid w:val="0093317B"/>
    <w:rsid w:val="00950D36"/>
    <w:rsid w:val="009529DF"/>
    <w:rsid w:val="009579CD"/>
    <w:rsid w:val="0096217F"/>
    <w:rsid w:val="0097022D"/>
    <w:rsid w:val="00995540"/>
    <w:rsid w:val="009956B1"/>
    <w:rsid w:val="009A1791"/>
    <w:rsid w:val="009A451D"/>
    <w:rsid w:val="009C2695"/>
    <w:rsid w:val="009C2C16"/>
    <w:rsid w:val="009C37B4"/>
    <w:rsid w:val="009C4226"/>
    <w:rsid w:val="009C721C"/>
    <w:rsid w:val="009D0C80"/>
    <w:rsid w:val="009D162A"/>
    <w:rsid w:val="009D3F7C"/>
    <w:rsid w:val="009E10C3"/>
    <w:rsid w:val="009E6CDA"/>
    <w:rsid w:val="009F7B01"/>
    <w:rsid w:val="00A11754"/>
    <w:rsid w:val="00A145B5"/>
    <w:rsid w:val="00A15FAA"/>
    <w:rsid w:val="00A23FAE"/>
    <w:rsid w:val="00A2752C"/>
    <w:rsid w:val="00A30C27"/>
    <w:rsid w:val="00A441D5"/>
    <w:rsid w:val="00A50819"/>
    <w:rsid w:val="00A5301C"/>
    <w:rsid w:val="00A53D05"/>
    <w:rsid w:val="00A61382"/>
    <w:rsid w:val="00A67AC9"/>
    <w:rsid w:val="00AA497D"/>
    <w:rsid w:val="00AA684F"/>
    <w:rsid w:val="00AA6A93"/>
    <w:rsid w:val="00AB3D35"/>
    <w:rsid w:val="00AC675D"/>
    <w:rsid w:val="00AC746D"/>
    <w:rsid w:val="00AD156D"/>
    <w:rsid w:val="00AE0881"/>
    <w:rsid w:val="00AF0A1F"/>
    <w:rsid w:val="00AF6AA7"/>
    <w:rsid w:val="00B15997"/>
    <w:rsid w:val="00B3701C"/>
    <w:rsid w:val="00B5532D"/>
    <w:rsid w:val="00B63735"/>
    <w:rsid w:val="00B64A44"/>
    <w:rsid w:val="00B845BA"/>
    <w:rsid w:val="00B970F1"/>
    <w:rsid w:val="00BB2E9B"/>
    <w:rsid w:val="00BB744D"/>
    <w:rsid w:val="00BC0166"/>
    <w:rsid w:val="00BC0C2E"/>
    <w:rsid w:val="00BC42C1"/>
    <w:rsid w:val="00BD61D9"/>
    <w:rsid w:val="00BE356B"/>
    <w:rsid w:val="00C02EEC"/>
    <w:rsid w:val="00C0743B"/>
    <w:rsid w:val="00C07C93"/>
    <w:rsid w:val="00C20C8F"/>
    <w:rsid w:val="00C41408"/>
    <w:rsid w:val="00C42FB8"/>
    <w:rsid w:val="00C51952"/>
    <w:rsid w:val="00C57684"/>
    <w:rsid w:val="00C65088"/>
    <w:rsid w:val="00C65BA6"/>
    <w:rsid w:val="00C67F64"/>
    <w:rsid w:val="00C9538D"/>
    <w:rsid w:val="00CA66C4"/>
    <w:rsid w:val="00CB3F3E"/>
    <w:rsid w:val="00CB59F8"/>
    <w:rsid w:val="00CB5ADA"/>
    <w:rsid w:val="00CC68FE"/>
    <w:rsid w:val="00CD0F1B"/>
    <w:rsid w:val="00CD39B7"/>
    <w:rsid w:val="00CD4591"/>
    <w:rsid w:val="00CE210C"/>
    <w:rsid w:val="00CF2E08"/>
    <w:rsid w:val="00CF3E81"/>
    <w:rsid w:val="00CF570A"/>
    <w:rsid w:val="00D252F3"/>
    <w:rsid w:val="00D265E0"/>
    <w:rsid w:val="00D2704D"/>
    <w:rsid w:val="00D416B9"/>
    <w:rsid w:val="00D45E42"/>
    <w:rsid w:val="00D62255"/>
    <w:rsid w:val="00D7684B"/>
    <w:rsid w:val="00D91490"/>
    <w:rsid w:val="00D96ADD"/>
    <w:rsid w:val="00DB3CEB"/>
    <w:rsid w:val="00DC393A"/>
    <w:rsid w:val="00DC651A"/>
    <w:rsid w:val="00DE0090"/>
    <w:rsid w:val="00DE024C"/>
    <w:rsid w:val="00DE0343"/>
    <w:rsid w:val="00DE3443"/>
    <w:rsid w:val="00DE5248"/>
    <w:rsid w:val="00DF2BD3"/>
    <w:rsid w:val="00E03A31"/>
    <w:rsid w:val="00E10522"/>
    <w:rsid w:val="00E1758A"/>
    <w:rsid w:val="00E35591"/>
    <w:rsid w:val="00E5312B"/>
    <w:rsid w:val="00E61533"/>
    <w:rsid w:val="00E6470D"/>
    <w:rsid w:val="00E7094F"/>
    <w:rsid w:val="00E766A8"/>
    <w:rsid w:val="00EA11FF"/>
    <w:rsid w:val="00EA459F"/>
    <w:rsid w:val="00EA6E2D"/>
    <w:rsid w:val="00EB1347"/>
    <w:rsid w:val="00EC4202"/>
    <w:rsid w:val="00F161B1"/>
    <w:rsid w:val="00F344A0"/>
    <w:rsid w:val="00F55026"/>
    <w:rsid w:val="00F55364"/>
    <w:rsid w:val="00F6189B"/>
    <w:rsid w:val="00F63D40"/>
    <w:rsid w:val="00F647D4"/>
    <w:rsid w:val="00F720BB"/>
    <w:rsid w:val="00F73B04"/>
    <w:rsid w:val="00F826DE"/>
    <w:rsid w:val="00F93ECC"/>
    <w:rsid w:val="00FA38BB"/>
    <w:rsid w:val="00FA6ED9"/>
    <w:rsid w:val="00FB0609"/>
    <w:rsid w:val="00FD3D32"/>
    <w:rsid w:val="00FD648A"/>
    <w:rsid w:val="00FF1B0E"/>
    <w:rsid w:val="00FF25D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EF45A"/>
  <w15:chartTrackingRefBased/>
  <w15:docId w15:val="{CE65E676-ABEF-4C99-B759-A437233EA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A31"/>
    <w:pPr>
      <w:spacing w:after="24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427"/>
    <w:pPr>
      <w:spacing w:before="360"/>
      <w:outlineLvl w:val="0"/>
    </w:pPr>
    <w:rPr>
      <w:b/>
      <w:bCs/>
      <w:color w:val="242C65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48A2"/>
    <w:pPr>
      <w:spacing w:after="120" w:line="192" w:lineRule="auto"/>
      <w:outlineLvl w:val="1"/>
    </w:pPr>
    <w:rPr>
      <w:rFonts w:ascii="Arial Black" w:hAnsi="Arial Black"/>
      <w:b/>
      <w:bCs/>
      <w:color w:val="047BC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802BAF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02B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2BAF"/>
    <w:rPr>
      <w:rFonts w:ascii="Arial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67F64"/>
    <w:pPr>
      <w:spacing w:line="192" w:lineRule="auto"/>
    </w:pPr>
    <w:rPr>
      <w:rFonts w:ascii="Arial Black" w:hAnsi="Arial Black"/>
      <w:b/>
      <w:bCs/>
      <w:color w:val="00794B" w:themeColor="accent4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F64"/>
    <w:rPr>
      <w:rFonts w:ascii="Arial Black" w:hAnsi="Arial Black" w:cs="Arial"/>
      <w:b/>
      <w:bCs/>
      <w:color w:val="00794B" w:themeColor="accent4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23427"/>
    <w:rPr>
      <w:rFonts w:ascii="Arial" w:hAnsi="Arial" w:cs="Arial"/>
      <w:b/>
      <w:bCs/>
      <w:color w:val="242C65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D48A2"/>
    <w:rPr>
      <w:rFonts w:ascii="Arial Black" w:hAnsi="Arial Black" w:cs="Arial"/>
      <w:b/>
      <w:bCs/>
      <w:color w:val="047BC1"/>
      <w:sz w:val="28"/>
      <w:szCs w:val="28"/>
    </w:rPr>
  </w:style>
  <w:style w:type="character" w:styleId="Hyperlink">
    <w:name w:val="Hyperlink"/>
    <w:uiPriority w:val="99"/>
    <w:unhideWhenUsed/>
    <w:rsid w:val="001D6D91"/>
    <w:rPr>
      <w:color w:val="242C65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AC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3701C"/>
  </w:style>
  <w:style w:type="paragraph" w:styleId="FootnoteText">
    <w:name w:val="footnote text"/>
    <w:basedOn w:val="Normal"/>
    <w:link w:val="FootnoteTextChar"/>
    <w:uiPriority w:val="99"/>
    <w:semiHidden/>
    <w:unhideWhenUsed/>
    <w:rsid w:val="00A2752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752C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752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2752C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2752C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2752C"/>
    <w:rPr>
      <w:vertAlign w:val="superscript"/>
    </w:rPr>
  </w:style>
  <w:style w:type="paragraph" w:styleId="ListParagraph">
    <w:name w:val="List Paragraph"/>
    <w:basedOn w:val="Normal"/>
    <w:uiPriority w:val="34"/>
    <w:qFormat/>
    <w:rsid w:val="001A560F"/>
    <w:pPr>
      <w:numPr>
        <w:numId w:val="15"/>
      </w:numPr>
      <w:spacing w:after="120"/>
    </w:pPr>
  </w:style>
  <w:style w:type="paragraph" w:styleId="Bibliography">
    <w:name w:val="Bibliography"/>
    <w:basedOn w:val="Normal"/>
    <w:next w:val="Normal"/>
    <w:uiPriority w:val="37"/>
    <w:unhideWhenUsed/>
    <w:rsid w:val="00005025"/>
    <w:pPr>
      <w:spacing w:after="160" w:line="259" w:lineRule="auto"/>
      <w:ind w:left="720" w:hanging="720"/>
    </w:pPr>
    <w:rPr>
      <w:sz w:val="20"/>
      <w:szCs w:val="20"/>
    </w:rPr>
  </w:style>
  <w:style w:type="character" w:customStyle="1" w:styleId="apple-converted-space">
    <w:name w:val="apple-converted-space"/>
    <w:basedOn w:val="DefaultParagraphFont"/>
    <w:rsid w:val="006A0DCC"/>
  </w:style>
  <w:style w:type="character" w:styleId="FollowedHyperlink">
    <w:name w:val="FollowedHyperlink"/>
    <w:basedOn w:val="DefaultParagraphFont"/>
    <w:uiPriority w:val="99"/>
    <w:semiHidden/>
    <w:unhideWhenUsed/>
    <w:rsid w:val="00AC675D"/>
    <w:rPr>
      <w:color w:val="242C6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04CD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9684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9684F"/>
    <w:rPr>
      <w:rFonts w:ascii="Arial" w:hAnsi="Arial" w:cs="Arial"/>
    </w:rPr>
  </w:style>
  <w:style w:type="table" w:styleId="TableGrid">
    <w:name w:val="Table Grid"/>
    <w:basedOn w:val="TableNormal"/>
    <w:uiPriority w:val="39"/>
    <w:rsid w:val="00D45E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64371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47FCD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47FCD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64371A"/>
    <w:tblPr>
      <w:tblStyleRowBandSize w:val="1"/>
      <w:tblStyleColBandSize w:val="1"/>
      <w:tblBorders>
        <w:top w:val="single" w:sz="4" w:space="0" w:color="747FCD" w:themeColor="text1" w:themeTint="80"/>
        <w:bottom w:val="single" w:sz="4" w:space="0" w:color="747FC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47F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47F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47FCD" w:themeColor="text1" w:themeTint="80"/>
          <w:right w:val="single" w:sz="4" w:space="0" w:color="747FCD" w:themeColor="text1" w:themeTint="80"/>
        </w:tcBorders>
      </w:tcPr>
    </w:tblStylePr>
    <w:tblStylePr w:type="band2Vert">
      <w:tblPr/>
      <w:tcPr>
        <w:tcBorders>
          <w:left w:val="single" w:sz="4" w:space="0" w:color="747FCD" w:themeColor="text1" w:themeTint="80"/>
          <w:right w:val="single" w:sz="4" w:space="0" w:color="747FCD" w:themeColor="text1" w:themeTint="80"/>
        </w:tcBorders>
      </w:tcPr>
    </w:tblStylePr>
    <w:tblStylePr w:type="band1Horz">
      <w:tblPr/>
      <w:tcPr>
        <w:tcBorders>
          <w:top w:val="single" w:sz="4" w:space="0" w:color="747FCD" w:themeColor="text1" w:themeTint="80"/>
          <w:bottom w:val="single" w:sz="4" w:space="0" w:color="747FCD" w:themeColor="text1" w:themeTint="80"/>
        </w:tcBorders>
      </w:tcPr>
    </w:tblStylePr>
  </w:style>
  <w:style w:type="paragraph" w:styleId="NoSpacing">
    <w:name w:val="No Spacing"/>
    <w:link w:val="NoSpacingChar"/>
    <w:uiPriority w:val="1"/>
    <w:qFormat/>
    <w:rsid w:val="009C37B4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C37B4"/>
    <w:rPr>
      <w:rFonts w:eastAsiaTheme="minorEastAsia"/>
      <w:sz w:val="22"/>
      <w:szCs w:val="22"/>
      <w:lang w:eastAsia="zh-CN"/>
    </w:rPr>
  </w:style>
  <w:style w:type="table" w:styleId="PlainTable1">
    <w:name w:val="Plain Table 1"/>
    <w:basedOn w:val="TableNormal"/>
    <w:uiPriority w:val="41"/>
    <w:rsid w:val="000C03EC"/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4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3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0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0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1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5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4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2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4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9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13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0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1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1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br.org/2023/07/disability-as-a-source-of-competitive-advantage" TargetMode="External"/><Relationship Id="rId18" Type="http://schemas.openxmlformats.org/officeDocument/2006/relationships/header" Target="header3.xml"/><Relationship Id="rId26" Type="http://schemas.openxmlformats.org/officeDocument/2006/relationships/hyperlink" Target="https://www.sec.gov/Archives/edgar/data/1701605/000170160522000071/a2022proxystatement.htm" TargetMode="External"/><Relationship Id="rId39" Type="http://schemas.openxmlformats.org/officeDocument/2006/relationships/hyperlink" Target="https://www.sec.gov/ix?doc=/Archives/edgar/data/1732845/000119312523293896/d862309ddef14a.htm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www.sec.gov/Archives/edgar/data/832101/000119312523090402/d389379ddef14a.htm" TargetMode="External"/><Relationship Id="rId42" Type="http://schemas.openxmlformats.org/officeDocument/2006/relationships/image" Target="media/image5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hyperlink" Target="https://www.sec.gov/ix?doc=/Archives/edgar/data/730272/000119312523097893/d444989ddef14a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isabilityin.org/resource/global-boardroom-diversity-legal-findings-on-disability-diversity/" TargetMode="External"/><Relationship Id="rId24" Type="http://schemas.openxmlformats.org/officeDocument/2006/relationships/hyperlink" Target="https://www.sec.gov/Archives/edgar/data/1122976/000112297623000014/avnt-20230324.htm" TargetMode="External"/><Relationship Id="rId32" Type="http://schemas.openxmlformats.org/officeDocument/2006/relationships/hyperlink" Target="https://web.archive.org/web/20230511001824/https:/investors.gf.com/corporate-governance/governance-overview" TargetMode="External"/><Relationship Id="rId37" Type="http://schemas.openxmlformats.org/officeDocument/2006/relationships/hyperlink" Target="https://www.sec.gov/ix?doc=/Archives/edgar/data/921638/000092163823000097/ssrm-20230413.htm" TargetMode="External"/><Relationship Id="rId40" Type="http://schemas.openxmlformats.org/officeDocument/2006/relationships/hyperlink" Target="https://www.sec.gov/Archives/edgar/data/1370637/000137063723000036/etsy-20230425.htm" TargetMode="External"/><Relationship Id="rId45" Type="http://schemas.openxmlformats.org/officeDocument/2006/relationships/hyperlink" Target="https://www.osc.ny.gov/files/common-retirement-fund/corporate-governance/pdf/proxy-voting-guidelines-2022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sec.gov/Archives/edgar/data/1771917/000119312522121531/d282585ddef14a.htm" TargetMode="External"/><Relationship Id="rId28" Type="http://schemas.openxmlformats.org/officeDocument/2006/relationships/hyperlink" Target="https://www.sec.gov/Archives/edgar/data/1370637/000137063723000036/etsy-20230425.htm" TargetMode="External"/><Relationship Id="rId36" Type="http://schemas.openxmlformats.org/officeDocument/2006/relationships/hyperlink" Target="https://www.sec.gov/Archives/edgar/data/1531048/000119312522105527/d302350ddef14a.htm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www.sec.gov/ix?doc=/Archives/edgar/data/350894/000035089423000048/seic-20230420.htm" TargetMode="External"/><Relationship Id="rId44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sec.gov/ix?doc=/Archives/edgar/data/1410636/000119312523081511/d432194ddef14a.htm" TargetMode="External"/><Relationship Id="rId27" Type="http://schemas.openxmlformats.org/officeDocument/2006/relationships/hyperlink" Target="https://www.sec.gov/ix?doc=/Archives/edgar/data/1577916/000119312523258470/d520571ddef14a.htm" TargetMode="External"/><Relationship Id="rId30" Type="http://schemas.openxmlformats.org/officeDocument/2006/relationships/hyperlink" Target="https://www.sec.gov/Archives/edgar/data/1109357/000130817923000188/exc4124431-def14a.htm" TargetMode="External"/><Relationship Id="rId35" Type="http://schemas.openxmlformats.org/officeDocument/2006/relationships/hyperlink" Target="https://www.sec.gov/ix?doc=/Archives/edgar/data/1126956/000130817923001074/lsr2023_def14a.htm" TargetMode="External"/><Relationship Id="rId43" Type="http://schemas.openxmlformats.org/officeDocument/2006/relationships/hyperlink" Target="https://www.sec.gov/ix?doc=/Archives/edgar/data/1410636/000119312523081511/d432194ddef14a.htm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accenture.com/_acnmedia/pdf-89/accenture-disability-inclusion-research-report.pdf" TargetMode="External"/><Relationship Id="rId17" Type="http://schemas.openxmlformats.org/officeDocument/2006/relationships/footer" Target="footer2.xml"/><Relationship Id="rId25" Type="http://schemas.openxmlformats.org/officeDocument/2006/relationships/hyperlink" Target="https://www.sec.gov/Archives/edgar/data/72331/000119312524010767/d482491ddef14a.htm" TargetMode="External"/><Relationship Id="rId33" Type="http://schemas.openxmlformats.org/officeDocument/2006/relationships/hyperlink" Target="https://www.sec.gov/Archives/edgar/data/1038074/000119312523064483/d281516ddef14a.htm" TargetMode="External"/><Relationship Id="rId38" Type="http://schemas.openxmlformats.org/officeDocument/2006/relationships/hyperlink" Target="https://www.sec.gov/ix?doc=/Archives/edgar/data/1158463/000130817923000553/ljblu2023_def14a.htm" TargetMode="External"/><Relationship Id="rId46" Type="http://schemas.openxmlformats.org/officeDocument/2006/relationships/image" Target="media/image7.jpeg"/><Relationship Id="rId20" Type="http://schemas.openxmlformats.org/officeDocument/2006/relationships/hyperlink" Target="https://disabilityin.org/boards-are-in/" TargetMode="External"/><Relationship Id="rId4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disabilityin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isabilityIN01lh">
  <a:themeElements>
    <a:clrScheme name="DisabilityIN01">
      <a:dk1>
        <a:srgbClr val="242C65"/>
      </a:dk1>
      <a:lt1>
        <a:srgbClr val="FFFFFF"/>
      </a:lt1>
      <a:dk2>
        <a:srgbClr val="047BC1"/>
      </a:dk2>
      <a:lt2>
        <a:srgbClr val="EBEBF1"/>
      </a:lt2>
      <a:accent1>
        <a:srgbClr val="242C65"/>
      </a:accent1>
      <a:accent2>
        <a:srgbClr val="047BC1"/>
      </a:accent2>
      <a:accent3>
        <a:srgbClr val="3EAF49"/>
      </a:accent3>
      <a:accent4>
        <a:srgbClr val="00794B"/>
      </a:accent4>
      <a:accent5>
        <a:srgbClr val="888CAB"/>
      </a:accent5>
      <a:accent6>
        <a:srgbClr val="C3C5D5"/>
      </a:accent6>
      <a:hlink>
        <a:srgbClr val="242C65"/>
      </a:hlink>
      <a:folHlink>
        <a:srgbClr val="242C65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hotoDescription xmlns="8b4f4ecf-2de3-4a40-a488-6bcc691868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E04DCDBE0874B8BDB61306C065688" ma:contentTypeVersion="13" ma:contentTypeDescription="Create a new document." ma:contentTypeScope="" ma:versionID="b8ffa114f08c3a3b38fcf5b7313256bc">
  <xsd:schema xmlns:xsd="http://www.w3.org/2001/XMLSchema" xmlns:xs="http://www.w3.org/2001/XMLSchema" xmlns:p="http://schemas.microsoft.com/office/2006/metadata/properties" xmlns:ns2="8b4f4ecf-2de3-4a40-a488-6bcc691868f6" xmlns:ns3="cd34924e-cfd4-41ec-83e4-30cc3e6c50be" targetNamespace="http://schemas.microsoft.com/office/2006/metadata/properties" ma:root="true" ma:fieldsID="1c808c23934ba39d08d0fae867b42795" ns2:_="" ns3:_="">
    <xsd:import namespace="8b4f4ecf-2de3-4a40-a488-6bcc691868f6"/>
    <xsd:import namespace="cd34924e-cfd4-41ec-83e4-30cc3e6c5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PhotoDescrip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f4ecf-2de3-4a40-a488-6bcc69186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PhotoDescription" ma:index="18" nillable="true" ma:displayName="Photo Description" ma:format="Dropdown" ma:internalName="PhotoDescription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4924e-cfd4-41ec-83e4-30cc3e6c5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WageGap</b:Tag>
    <b:SourceType>DocumentFromInternetSite</b:SourceType>
    <b:Guid>{7F00D728-7493-484C-8E1F-B9510B360A02}</b:Guid>
    <b:Title>Wage Gap May Help Explain Why Women Are More Anxious and Depressed Than Men</b:Title>
    <b:InternetSiteTitle>Columbia Mailman School of Public Health</b:InternetSiteTitle>
    <b:Year>2016</b:Year>
    <b:Month>January</b:Month>
    <b:Day>5</b:Day>
    <b:URL>https://www.mailman.columbia.edu/public-health-now/news/wage-gap-may-help-explain-why-more-women-are-anxious-and-depressed-men</b:URL>
    <b:Author>
      <b:Author>
        <b:Corporate>Columbia Mailman School of Public Health</b:Corporate>
      </b:Author>
    </b:Author>
    <b:ShortTitle>Wage Gap May Help Explain Why Women Are More Anxious and Depressed Than Men</b:ShortTitle>
    <b:RefOrder>3</b:RefOrder>
  </b:Source>
  <b:Source>
    <b:Tag>May19</b:Tag>
    <b:SourceType>DocumentFromInternetSite</b:SourceType>
    <b:Guid>{85B0D319-1E33-4BA0-92B4-1C82C643D687}</b:Guid>
    <b:Author>
      <b:Author>
        <b:Corporate>Mayo Clinic</b:Corporate>
      </b:Author>
    </b:Author>
    <b:Title>Depression in Women: Understanding the Gender Gap</b:Title>
    <b:InternetSiteTitle>Mayo Clinic</b:InternetSiteTitle>
    <b:Year>2019</b:Year>
    <b:Month>January</b:Month>
    <b:Day>29</b:Day>
    <b:URL>https://www.mayoclinic.org/diseases-conditions/depression/in-depth/depression/art-20047725</b:URL>
    <b:RefOrder>4</b:RefOrder>
  </b:Source>
  <b:Source xmlns:b="http://schemas.openxmlformats.org/officeDocument/2006/bibliography" xmlns="http://schemas.openxmlformats.org/officeDocument/2006/bibliography">
    <b:Tag>Placeholder1</b:Tag>
    <b:RefOrder>7</b:RefOrder>
  </b:Source>
  <b:Source>
    <b:Tag>WHO</b:Tag>
    <b:SourceType>DocumentFromInternetSite</b:SourceType>
    <b:Guid>{9F6C0A71-BDDF-4264-8E9C-3AD30D114757}</b:Guid>
    <b:Title>Depression Fact Sheet</b:Title>
    <b:Year>2020</b:Year>
    <b:InternetSiteTitle>World Health Organization</b:InternetSiteTitle>
    <b:Month>January</b:Month>
    <b:Day>30</b:Day>
    <b:URL>https://www.who.int/news-room/fact-sheets/detail/depression</b:URL>
    <b:Author>
      <b:Author>
        <b:Corporate>World Health Organization</b:Corporate>
      </b:Author>
    </b:Author>
    <b:ShortTitle>Depression Fact Sheet</b:ShortTitle>
    <b:RefOrder>1</b:RefOrder>
  </b:Source>
  <b:Source>
    <b:Tag>Har11</b:Tag>
    <b:SourceType>DocumentFromInternetSite</b:SourceType>
    <b:Guid>{8FEF3527-DEDC-45D7-AA20-58D51E171C3D}</b:Guid>
    <b:Title>Harvard Mental Health Letter - Women and Depression</b:Title>
    <b:InternetSiteTitle>Harvard Health Publishing Harvard Medical School</b:InternetSiteTitle>
    <b:Year>2011</b:Year>
    <b:Month>May</b:Month>
    <b:URL>https://www.health.harvard.edu/womens-health/women-and-depression</b:URL>
    <b:Author>
      <b:Author>
        <b:Corporate>Harvard Health Publishing Harvard Medical School</b:Corporate>
      </b:Author>
    </b:Author>
    <b:ShortTitle>Harvard Mental Health Letter - Women and Depression</b:ShortTitle>
    <b:RefOrder>2</b:RefOrder>
  </b:Source>
  <b:Source>
    <b:Tag>MentalHealthAmerica</b:Tag>
    <b:SourceType>DocumentFromInternetSite</b:SourceType>
    <b:Guid>{D9FA36C4-9E03-4348-9B7D-13989EB17C4A}</b:Guid>
    <b:Title>Depression In Women</b:Title>
    <b:InternetSiteTitle>Mental Health America </b:InternetSiteTitle>
    <b:URL>https://www.mhanational.org/depression-women</b:URL>
    <b:Author>
      <b:Author>
        <b:Corporate>Mental Health America</b:Corporate>
      </b:Author>
    </b:Author>
    <b:RefOrder>5</b:RefOrder>
  </b:Source>
  <b:Source>
    <b:Tag>Nat19</b:Tag>
    <b:SourceType>DocumentFromInternetSite</b:SourceType>
    <b:Guid>{FC02AA93-573D-4CE3-96B9-C2088BE1CAA5}</b:Guid>
    <b:Author>
      <b:Author>
        <b:Corporate>National Institute of Mental Health</b:Corporate>
      </b:Author>
    </b:Author>
    <b:Title>Mental Illness Statistics</b:Title>
    <b:InternetSiteTitle>National Institute of Mental Health </b:InternetSiteTitle>
    <b:Year>2019</b:Year>
    <b:Month>February</b:Month>
    <b:URL>https://www.nimh.nih.gov/health/statistics/mental-illness.shtml</b:URL>
    <b:RefOrder>6</b:RefOrder>
  </b:Source>
</b:Sources>
</file>

<file path=customXml/itemProps1.xml><?xml version="1.0" encoding="utf-8"?>
<ds:datastoreItem xmlns:ds="http://schemas.openxmlformats.org/officeDocument/2006/customXml" ds:itemID="{C2C3EC82-87A5-4CBD-AF85-913B25123287}">
  <ds:schemaRefs>
    <ds:schemaRef ds:uri="http://schemas.microsoft.com/office/2006/metadata/properties"/>
    <ds:schemaRef ds:uri="http://schemas.microsoft.com/office/infopath/2007/PartnerControls"/>
    <ds:schemaRef ds:uri="8b4f4ecf-2de3-4a40-a488-6bcc691868f6"/>
  </ds:schemaRefs>
</ds:datastoreItem>
</file>

<file path=customXml/itemProps2.xml><?xml version="1.0" encoding="utf-8"?>
<ds:datastoreItem xmlns:ds="http://schemas.openxmlformats.org/officeDocument/2006/customXml" ds:itemID="{DD9A61B3-AD2C-4BAF-93A2-E6A7BA1C0D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4f4ecf-2de3-4a40-a488-6bcc691868f6"/>
    <ds:schemaRef ds:uri="cd34924e-cfd4-41ec-83e4-30cc3e6c5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65DD0A-4A70-4792-A4E8-E521370955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ADEB46-0D90-2746-9220-12EE8048D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Boards Are IN</vt:lpstr>
    </vt:vector>
  </TitlesOfParts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Boards Are IN</dc:title>
  <dc:subject>Modernizing the Corporate Board to Include People with Disabilities</dc:subject>
  <dc:creator>Ean Everett Williams</dc:creator>
  <cp:keywords/>
  <dc:description/>
  <cp:lastModifiedBy>Reid Jewett Smith</cp:lastModifiedBy>
  <cp:revision>19</cp:revision>
  <cp:lastPrinted>2023-06-29T18:15:00Z</cp:lastPrinted>
  <dcterms:created xsi:type="dcterms:W3CDTF">2023-06-29T18:13:00Z</dcterms:created>
  <dcterms:modified xsi:type="dcterms:W3CDTF">2024-03-25T15:48:00Z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0x01010085AE04DCDBE0874B8BDB61306C065688</vt:lpwstr>
  </property>
</Properties>
</file>